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3231"/>
      </w:tblGrid>
      <w:tr w:rsidR="008B5A07" w14:paraId="75A496FE" w14:textId="77777777" w:rsidTr="00815B9B">
        <w:tc>
          <w:tcPr>
            <w:tcW w:w="7225" w:type="dxa"/>
            <w:shd w:val="clear" w:color="auto" w:fill="93287B"/>
          </w:tcPr>
          <w:p w14:paraId="460C115E" w14:textId="3C8A10A9" w:rsidR="008B5A07" w:rsidRPr="002E75B3" w:rsidRDefault="003D0816" w:rsidP="00F91849">
            <w:pPr>
              <w:spacing w:before="240"/>
              <w:jc w:val="center"/>
              <w:outlineLvl w:val="0"/>
              <w:rPr>
                <w:b/>
                <w:color w:val="FFFFFF" w:themeColor="background1"/>
                <w:sz w:val="36"/>
              </w:rPr>
            </w:pPr>
            <w:r w:rsidRPr="002E75B3">
              <w:rPr>
                <w:b/>
                <w:color w:val="FFFFFF" w:themeColor="background1"/>
                <w:sz w:val="36"/>
              </w:rPr>
              <w:t>2021 OFFICER ELECTIONS</w:t>
            </w:r>
          </w:p>
          <w:p w14:paraId="58032394" w14:textId="77777777" w:rsidR="008B5A07" w:rsidRPr="002E75B3" w:rsidRDefault="008B5A07" w:rsidP="008B5A07">
            <w:pPr>
              <w:jc w:val="center"/>
              <w:outlineLvl w:val="0"/>
              <w:rPr>
                <w:rFonts w:cs="Tahoma"/>
                <w:b/>
                <w:color w:val="FFFFFF" w:themeColor="background1"/>
                <w:sz w:val="36"/>
              </w:rPr>
            </w:pPr>
            <w:r w:rsidRPr="002E75B3">
              <w:rPr>
                <w:b/>
                <w:color w:val="FFFFFF" w:themeColor="background1"/>
                <w:sz w:val="36"/>
              </w:rPr>
              <w:t>CANDIDATE RULES</w:t>
            </w:r>
          </w:p>
          <w:p w14:paraId="0B78DC34" w14:textId="77777777" w:rsidR="008B5A07" w:rsidRPr="002E75B3" w:rsidRDefault="008B5A07" w:rsidP="008B5A07">
            <w:pPr>
              <w:jc w:val="center"/>
              <w:rPr>
                <w:b/>
                <w:color w:val="FFFFFF" w:themeColor="background1"/>
                <w:sz w:val="36"/>
              </w:rPr>
            </w:pPr>
          </w:p>
          <w:p w14:paraId="5FA50662" w14:textId="05939EEA" w:rsidR="008B5A07" w:rsidRPr="00F91849" w:rsidRDefault="008B5A07" w:rsidP="00F91849">
            <w:pPr>
              <w:jc w:val="center"/>
              <w:rPr>
                <w:rFonts w:cs="Tahoma"/>
                <w:b/>
                <w:color w:val="FFFFFF" w:themeColor="background1"/>
                <w:sz w:val="36"/>
              </w:rPr>
            </w:pPr>
            <w:r w:rsidRPr="002E75B3">
              <w:rPr>
                <w:b/>
                <w:color w:val="FFFFFF" w:themeColor="background1"/>
                <w:sz w:val="36"/>
              </w:rPr>
              <w:t>#ABERELECTIONS</w:t>
            </w:r>
          </w:p>
        </w:tc>
        <w:tc>
          <w:tcPr>
            <w:tcW w:w="3231" w:type="dxa"/>
            <w:shd w:val="clear" w:color="auto" w:fill="93287B"/>
          </w:tcPr>
          <w:p w14:paraId="75C8E17F" w14:textId="77777777" w:rsidR="002E75B3" w:rsidRDefault="000A5ADF" w:rsidP="005A647A">
            <w:pPr>
              <w:jc w:val="right"/>
              <w:rPr>
                <w:noProof/>
              </w:rPr>
            </w:pPr>
            <w:r>
              <w:rPr>
                <w:noProof/>
              </w:rPr>
              <w:drawing>
                <wp:inline distT="0" distB="0" distL="0" distR="0" wp14:anchorId="4C200FE8" wp14:editId="2FFE522F">
                  <wp:extent cx="1533781" cy="12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781" cy="1260000"/>
                          </a:xfrm>
                          <a:prstGeom prst="rect">
                            <a:avLst/>
                          </a:prstGeom>
                        </pic:spPr>
                      </pic:pic>
                    </a:graphicData>
                  </a:graphic>
                </wp:inline>
              </w:drawing>
            </w:r>
          </w:p>
          <w:p w14:paraId="58F2CCB8" w14:textId="2C4BDF79" w:rsidR="0034771D" w:rsidRDefault="0034771D" w:rsidP="005A647A">
            <w:pPr>
              <w:jc w:val="right"/>
              <w:rPr>
                <w:noProof/>
              </w:rPr>
            </w:pPr>
          </w:p>
        </w:tc>
      </w:tr>
      <w:tr w:rsidR="0020770B" w14:paraId="7F5C559D" w14:textId="77777777" w:rsidTr="00815B9B">
        <w:tc>
          <w:tcPr>
            <w:tcW w:w="10456" w:type="dxa"/>
            <w:gridSpan w:val="2"/>
          </w:tcPr>
          <w:p w14:paraId="59071277" w14:textId="77777777" w:rsidR="0020770B" w:rsidRPr="008B5A07" w:rsidRDefault="0020770B" w:rsidP="008B5A07">
            <w:pPr>
              <w:jc w:val="both"/>
              <w:outlineLvl w:val="0"/>
              <w:rPr>
                <w:b/>
              </w:rPr>
            </w:pPr>
          </w:p>
        </w:tc>
      </w:tr>
      <w:tr w:rsidR="001C68E0" w14:paraId="78993E6C" w14:textId="77777777" w:rsidTr="00815B9B">
        <w:tc>
          <w:tcPr>
            <w:tcW w:w="10456" w:type="dxa"/>
            <w:gridSpan w:val="2"/>
            <w:shd w:val="clear" w:color="auto" w:fill="008F4C"/>
          </w:tcPr>
          <w:p w14:paraId="144D67F1" w14:textId="77777777" w:rsidR="001C68E0" w:rsidRPr="00C14969" w:rsidRDefault="001C68E0" w:rsidP="008B5A07">
            <w:pPr>
              <w:jc w:val="both"/>
              <w:outlineLvl w:val="0"/>
              <w:rPr>
                <w:b/>
                <w:color w:val="FFFFFF" w:themeColor="background1"/>
              </w:rPr>
            </w:pPr>
            <w:r>
              <w:rPr>
                <w:b/>
                <w:color w:val="FFFFFF" w:themeColor="background1"/>
              </w:rPr>
              <w:t>KEY PEOPLE</w:t>
            </w:r>
          </w:p>
        </w:tc>
      </w:tr>
      <w:tr w:rsidR="001C68E0" w:rsidRPr="002A32D3" w14:paraId="4A44A6AA" w14:textId="77777777" w:rsidTr="00815B9B">
        <w:tc>
          <w:tcPr>
            <w:tcW w:w="10456" w:type="dxa"/>
            <w:gridSpan w:val="2"/>
            <w:shd w:val="clear" w:color="auto" w:fill="auto"/>
          </w:tcPr>
          <w:p w14:paraId="29FCA614" w14:textId="6ED71F97" w:rsidR="001C68E0" w:rsidRPr="002A32D3" w:rsidRDefault="00E02666" w:rsidP="001C68E0">
            <w:pPr>
              <w:outlineLvl w:val="0"/>
              <w:rPr>
                <w:rFonts w:cs="Tahoma"/>
              </w:rPr>
            </w:pPr>
            <w:r w:rsidRPr="002A32D3">
              <w:rPr>
                <w:rFonts w:cs="Tahoma"/>
              </w:rPr>
              <w:t>Trish McGrath</w:t>
            </w:r>
          </w:p>
          <w:p w14:paraId="5C7C1605" w14:textId="77777777" w:rsidR="001C68E0" w:rsidRPr="002A32D3" w:rsidRDefault="001C68E0" w:rsidP="001C68E0">
            <w:r w:rsidRPr="002A32D3">
              <w:t>Deputy Returning Officer</w:t>
            </w:r>
          </w:p>
          <w:p w14:paraId="1F65A5F8" w14:textId="77777777" w:rsidR="001C68E0" w:rsidRPr="002A32D3" w:rsidRDefault="001C68E0" w:rsidP="001C68E0">
            <w:pPr>
              <w:rPr>
                <w:rFonts w:cs="Tahoma"/>
              </w:rPr>
            </w:pPr>
          </w:p>
          <w:p w14:paraId="199CE101" w14:textId="77777777" w:rsidR="001C68E0" w:rsidRPr="002A32D3" w:rsidRDefault="001C68E0" w:rsidP="001C68E0">
            <w:pPr>
              <w:jc w:val="both"/>
              <w:rPr>
                <w:rStyle w:val="Hyperlink"/>
                <w:rFonts w:cs="Tahoma"/>
              </w:rPr>
            </w:pPr>
            <w:r w:rsidRPr="002A32D3">
              <w:t xml:space="preserve">The Deputy Returning Officer (DRO) is your first point of contact for any question, queries or complaints. The DRO will refer matters to the NUS Returning Officer to make rulings. To contact the DRO, email </w:t>
            </w:r>
            <w:hyperlink r:id="rId6">
              <w:r w:rsidRPr="002A32D3">
                <w:rPr>
                  <w:rStyle w:val="Hyperlink"/>
                </w:rPr>
                <w:t>union.elections@aber.ac.uk</w:t>
              </w:r>
            </w:hyperlink>
            <w:r w:rsidRPr="002A32D3">
              <w:rPr>
                <w:rStyle w:val="Hyperlink"/>
              </w:rPr>
              <w:t>.</w:t>
            </w:r>
          </w:p>
          <w:p w14:paraId="3270A8E6" w14:textId="77777777" w:rsidR="001C68E0" w:rsidRPr="002A32D3" w:rsidRDefault="001C68E0" w:rsidP="001C68E0">
            <w:pPr>
              <w:rPr>
                <w:rFonts w:cs="Tahoma"/>
              </w:rPr>
            </w:pPr>
          </w:p>
          <w:p w14:paraId="270C489D" w14:textId="77777777" w:rsidR="001C68E0" w:rsidRPr="002A32D3" w:rsidRDefault="001C68E0" w:rsidP="001C68E0">
            <w:pPr>
              <w:outlineLvl w:val="0"/>
              <w:rPr>
                <w:rFonts w:cs="Tahoma"/>
              </w:rPr>
            </w:pPr>
            <w:r w:rsidRPr="002A32D3">
              <w:t>NUS Returning Officer</w:t>
            </w:r>
          </w:p>
          <w:p w14:paraId="1D4A6656" w14:textId="77777777" w:rsidR="001C68E0" w:rsidRPr="002A32D3" w:rsidRDefault="001C68E0" w:rsidP="001C68E0">
            <w:pPr>
              <w:jc w:val="both"/>
              <w:outlineLvl w:val="0"/>
              <w:rPr>
                <w:b/>
                <w:color w:val="FFFFFF" w:themeColor="background1"/>
              </w:rPr>
            </w:pPr>
            <w:r w:rsidRPr="002A32D3">
              <w:t>The Returning Officer (RO) oversees the election process ensuring it is fair and open</w:t>
            </w:r>
          </w:p>
        </w:tc>
      </w:tr>
      <w:tr w:rsidR="001C68E0" w:rsidRPr="002A32D3" w14:paraId="03C47A81" w14:textId="77777777" w:rsidTr="00815B9B">
        <w:tc>
          <w:tcPr>
            <w:tcW w:w="10456" w:type="dxa"/>
            <w:gridSpan w:val="2"/>
            <w:shd w:val="clear" w:color="auto" w:fill="auto"/>
          </w:tcPr>
          <w:p w14:paraId="46BAB527" w14:textId="77777777" w:rsidR="001C68E0" w:rsidRPr="002A32D3" w:rsidRDefault="001C68E0" w:rsidP="008B5A07">
            <w:pPr>
              <w:jc w:val="both"/>
              <w:outlineLvl w:val="0"/>
              <w:rPr>
                <w:b/>
                <w:color w:val="FFFFFF" w:themeColor="background1"/>
              </w:rPr>
            </w:pPr>
          </w:p>
        </w:tc>
      </w:tr>
      <w:tr w:rsidR="001C68E0" w:rsidRPr="002A32D3" w14:paraId="3FFAB083" w14:textId="77777777" w:rsidTr="00815B9B">
        <w:tc>
          <w:tcPr>
            <w:tcW w:w="10456" w:type="dxa"/>
            <w:gridSpan w:val="2"/>
            <w:shd w:val="clear" w:color="auto" w:fill="F7941E"/>
          </w:tcPr>
          <w:p w14:paraId="239C5878" w14:textId="77777777" w:rsidR="001C68E0" w:rsidRPr="002A32D3" w:rsidRDefault="001C68E0" w:rsidP="008B5A07">
            <w:pPr>
              <w:jc w:val="both"/>
              <w:outlineLvl w:val="0"/>
              <w:rPr>
                <w:b/>
                <w:color w:val="FFFFFF" w:themeColor="background1"/>
              </w:rPr>
            </w:pPr>
            <w:r w:rsidRPr="002A32D3">
              <w:rPr>
                <w:b/>
                <w:color w:val="FFFFFF" w:themeColor="background1"/>
              </w:rPr>
              <w:t>KEY DATES</w:t>
            </w:r>
          </w:p>
        </w:tc>
      </w:tr>
      <w:tr w:rsidR="001C68E0" w:rsidRPr="002A32D3" w14:paraId="40DC8C4C" w14:textId="77777777" w:rsidTr="00815B9B">
        <w:tc>
          <w:tcPr>
            <w:tcW w:w="10456" w:type="dxa"/>
            <w:gridSpan w:val="2"/>
            <w:shd w:val="clear" w:color="auto" w:fill="auto"/>
          </w:tcPr>
          <w:p w14:paraId="0F525EEB" w14:textId="7D39DD0D" w:rsidR="001C68E0" w:rsidRPr="002A32D3" w:rsidRDefault="001C68E0" w:rsidP="001C68E0">
            <w:pPr>
              <w:jc w:val="center"/>
              <w:outlineLvl w:val="0"/>
              <w:rPr>
                <w:rFonts w:cs="Tahoma"/>
              </w:rPr>
            </w:pPr>
            <w:r w:rsidRPr="002A32D3">
              <w:rPr>
                <w:color w:val="000000" w:themeColor="text1"/>
              </w:rPr>
              <w:t xml:space="preserve">Standing Opens: </w:t>
            </w:r>
            <w:r w:rsidRPr="002A32D3">
              <w:t xml:space="preserve">Monday </w:t>
            </w:r>
            <w:r w:rsidR="00E02666" w:rsidRPr="002A32D3">
              <w:t>20th September</w:t>
            </w:r>
          </w:p>
          <w:p w14:paraId="6610223A" w14:textId="2956AA78" w:rsidR="001C68E0" w:rsidRPr="002A32D3" w:rsidRDefault="001C68E0" w:rsidP="001C68E0">
            <w:pPr>
              <w:jc w:val="center"/>
              <w:outlineLvl w:val="0"/>
              <w:rPr>
                <w:rFonts w:cs="Tahoma"/>
              </w:rPr>
            </w:pPr>
            <w:r w:rsidRPr="002A32D3">
              <w:rPr>
                <w:color w:val="000000" w:themeColor="text1"/>
              </w:rPr>
              <w:t>Standing Closes:</w:t>
            </w:r>
            <w:r w:rsidRPr="002A32D3">
              <w:t xml:space="preserve"> 12pm </w:t>
            </w:r>
            <w:r w:rsidR="00E02666" w:rsidRPr="002A32D3">
              <w:t>Monday 11th October</w:t>
            </w:r>
          </w:p>
          <w:p w14:paraId="282ED90B" w14:textId="1EF3AB95" w:rsidR="00751660" w:rsidRPr="002A32D3" w:rsidRDefault="001C68E0" w:rsidP="00CB62B9">
            <w:pPr>
              <w:jc w:val="center"/>
              <w:outlineLvl w:val="0"/>
              <w:rPr>
                <w:color w:val="000000" w:themeColor="text1"/>
              </w:rPr>
            </w:pPr>
            <w:r w:rsidRPr="002A32D3">
              <w:rPr>
                <w:color w:val="000000" w:themeColor="text1"/>
              </w:rPr>
              <w:t xml:space="preserve">Candidates Briefing: (Time tbc) </w:t>
            </w:r>
            <w:r w:rsidR="00E02666" w:rsidRPr="002A32D3">
              <w:rPr>
                <w:color w:val="000000" w:themeColor="text1"/>
              </w:rPr>
              <w:t>Monday 11th October</w:t>
            </w:r>
          </w:p>
          <w:p w14:paraId="4B9C8C77" w14:textId="3427242E" w:rsidR="001C68E0" w:rsidRPr="002A32D3" w:rsidRDefault="001C68E0" w:rsidP="001C68E0">
            <w:pPr>
              <w:jc w:val="center"/>
              <w:rPr>
                <w:rFonts w:cs="Tahoma"/>
              </w:rPr>
            </w:pPr>
            <w:r w:rsidRPr="002A32D3">
              <w:t xml:space="preserve">Voting Opens: 10am Monday </w:t>
            </w:r>
            <w:r w:rsidR="00E02666" w:rsidRPr="002A32D3">
              <w:t>18th October</w:t>
            </w:r>
          </w:p>
          <w:p w14:paraId="4FC58C45" w14:textId="4AEE08B6" w:rsidR="001C68E0" w:rsidRPr="002A32D3" w:rsidRDefault="001C68E0" w:rsidP="001C68E0">
            <w:pPr>
              <w:jc w:val="center"/>
              <w:rPr>
                <w:rFonts w:cs="Tahoma"/>
              </w:rPr>
            </w:pPr>
            <w:r w:rsidRPr="002A32D3">
              <w:t xml:space="preserve">Voting Closes: </w:t>
            </w:r>
            <w:r w:rsidR="00E02666" w:rsidRPr="002A32D3">
              <w:t>12p</w:t>
            </w:r>
            <w:r w:rsidRPr="002A32D3">
              <w:t xml:space="preserve">m Friday </w:t>
            </w:r>
            <w:r w:rsidR="00E02666" w:rsidRPr="002A32D3">
              <w:t>22nd October</w:t>
            </w:r>
          </w:p>
          <w:p w14:paraId="664A0632" w14:textId="3D1FD2D4" w:rsidR="001C68E0" w:rsidRPr="002A32D3" w:rsidRDefault="001C68E0" w:rsidP="00E02666">
            <w:pPr>
              <w:jc w:val="center"/>
              <w:rPr>
                <w:color w:val="000000" w:themeColor="text1"/>
              </w:rPr>
            </w:pPr>
            <w:r w:rsidRPr="002A32D3">
              <w:t xml:space="preserve">Results: </w:t>
            </w:r>
            <w:r w:rsidR="00E02666" w:rsidRPr="002A32D3">
              <w:t>6pm Friday 22nd October</w:t>
            </w:r>
          </w:p>
        </w:tc>
      </w:tr>
      <w:tr w:rsidR="001C68E0" w:rsidRPr="002A32D3" w14:paraId="40C23F7A" w14:textId="77777777" w:rsidTr="00815B9B">
        <w:tc>
          <w:tcPr>
            <w:tcW w:w="10456" w:type="dxa"/>
            <w:gridSpan w:val="2"/>
            <w:shd w:val="clear" w:color="auto" w:fill="auto"/>
          </w:tcPr>
          <w:p w14:paraId="67FF1B2B" w14:textId="77777777" w:rsidR="001C68E0" w:rsidRPr="002A32D3" w:rsidRDefault="001C68E0" w:rsidP="008B5A07">
            <w:pPr>
              <w:jc w:val="both"/>
              <w:outlineLvl w:val="0"/>
              <w:rPr>
                <w:b/>
                <w:color w:val="FFFFFF" w:themeColor="background1"/>
              </w:rPr>
            </w:pPr>
          </w:p>
        </w:tc>
      </w:tr>
      <w:tr w:rsidR="008B5A07" w:rsidRPr="002A32D3" w14:paraId="53AEC782" w14:textId="77777777" w:rsidTr="00815B9B">
        <w:tc>
          <w:tcPr>
            <w:tcW w:w="10456" w:type="dxa"/>
            <w:gridSpan w:val="2"/>
            <w:shd w:val="clear" w:color="auto" w:fill="93287B"/>
          </w:tcPr>
          <w:p w14:paraId="7709F2A6" w14:textId="77777777" w:rsidR="008B5A07" w:rsidRPr="002A32D3" w:rsidRDefault="008B5A07" w:rsidP="008B5A07">
            <w:pPr>
              <w:jc w:val="both"/>
              <w:outlineLvl w:val="0"/>
              <w:rPr>
                <w:rFonts w:cs="Tahoma"/>
                <w:b/>
              </w:rPr>
            </w:pPr>
            <w:r w:rsidRPr="002A32D3">
              <w:rPr>
                <w:b/>
                <w:color w:val="FFFFFF" w:themeColor="background1"/>
              </w:rPr>
              <w:t>STANDING</w:t>
            </w:r>
          </w:p>
        </w:tc>
      </w:tr>
      <w:tr w:rsidR="008B5A07" w:rsidRPr="002A32D3" w14:paraId="6C76FE31" w14:textId="77777777" w:rsidTr="00815B9B">
        <w:tc>
          <w:tcPr>
            <w:tcW w:w="10456" w:type="dxa"/>
            <w:gridSpan w:val="2"/>
          </w:tcPr>
          <w:p w14:paraId="7328B425" w14:textId="7681A23C" w:rsidR="008B5A07" w:rsidRPr="002A32D3" w:rsidRDefault="008B5A07" w:rsidP="008B5A07">
            <w:pPr>
              <w:pStyle w:val="ListParagraph"/>
              <w:numPr>
                <w:ilvl w:val="0"/>
                <w:numId w:val="1"/>
              </w:numPr>
              <w:outlineLvl w:val="0"/>
              <w:rPr>
                <w:rFonts w:ascii="Tahoma" w:hAnsi="Tahoma" w:cs="Tahoma"/>
                <w:color w:val="000000" w:themeColor="text1"/>
                <w:sz w:val="22"/>
                <w:szCs w:val="20"/>
              </w:rPr>
            </w:pPr>
            <w:r w:rsidRPr="002A32D3">
              <w:rPr>
                <w:rFonts w:ascii="Tahoma" w:hAnsi="Tahoma"/>
                <w:color w:val="000000" w:themeColor="text1"/>
                <w:sz w:val="22"/>
                <w:szCs w:val="20"/>
              </w:rPr>
              <w:t xml:space="preserve">To stand you must complete the online standing form at </w:t>
            </w:r>
            <w:hyperlink r:id="rId7" w:history="1">
              <w:r w:rsidRPr="002A32D3">
                <w:rPr>
                  <w:rStyle w:val="Hyperlink"/>
                  <w:rFonts w:ascii="Tahoma" w:hAnsi="Tahoma"/>
                  <w:sz w:val="22"/>
                  <w:szCs w:val="20"/>
                </w:rPr>
                <w:t>www.abersu.co.uk/elections</w:t>
              </w:r>
            </w:hyperlink>
            <w:r w:rsidRPr="002A32D3">
              <w:rPr>
                <w:rFonts w:ascii="Tahoma" w:hAnsi="Tahoma"/>
                <w:sz w:val="22"/>
                <w:szCs w:val="20"/>
              </w:rPr>
              <w:t xml:space="preserve"> </w:t>
            </w:r>
            <w:r w:rsidRPr="002A32D3">
              <w:rPr>
                <w:rFonts w:ascii="Tahoma" w:hAnsi="Tahoma"/>
                <w:color w:val="000000" w:themeColor="text1"/>
                <w:sz w:val="22"/>
                <w:szCs w:val="20"/>
              </w:rPr>
              <w:t xml:space="preserve">no later than </w:t>
            </w:r>
            <w:r w:rsidR="00E02666" w:rsidRPr="002A32D3">
              <w:rPr>
                <w:rFonts w:ascii="Tahoma" w:hAnsi="Tahoma"/>
                <w:color w:val="000000" w:themeColor="text1"/>
                <w:sz w:val="22"/>
                <w:szCs w:val="20"/>
              </w:rPr>
              <w:t>12pm Monday 11th October</w:t>
            </w:r>
          </w:p>
          <w:p w14:paraId="7B93DB2F" w14:textId="77777777" w:rsidR="008B5A07" w:rsidRPr="002A32D3" w:rsidRDefault="008B5A07" w:rsidP="008B5A07">
            <w:pPr>
              <w:pStyle w:val="ListParagraph"/>
              <w:numPr>
                <w:ilvl w:val="0"/>
                <w:numId w:val="1"/>
              </w:numPr>
              <w:jc w:val="both"/>
              <w:outlineLvl w:val="0"/>
              <w:rPr>
                <w:rFonts w:ascii="Tahoma" w:hAnsi="Tahoma" w:cs="Tahoma"/>
                <w:color w:val="000000" w:themeColor="text1"/>
                <w:sz w:val="22"/>
                <w:szCs w:val="20"/>
              </w:rPr>
            </w:pPr>
            <w:r w:rsidRPr="002A32D3">
              <w:rPr>
                <w:rFonts w:ascii="Tahoma" w:hAnsi="Tahoma"/>
                <w:color w:val="000000" w:themeColor="text1"/>
                <w:sz w:val="22"/>
                <w:szCs w:val="20"/>
              </w:rPr>
              <w:t>To stand you must include your name, student number and university email.</w:t>
            </w:r>
          </w:p>
          <w:p w14:paraId="724CA211" w14:textId="53A87C4D" w:rsidR="00C1324F" w:rsidRPr="002A32D3" w:rsidRDefault="008B5A07" w:rsidP="00C1324F">
            <w:pPr>
              <w:pStyle w:val="ListParagraph"/>
              <w:numPr>
                <w:ilvl w:val="0"/>
                <w:numId w:val="1"/>
              </w:numPr>
              <w:jc w:val="both"/>
              <w:outlineLvl w:val="0"/>
              <w:rPr>
                <w:rFonts w:ascii="Tahoma" w:hAnsi="Tahoma" w:cs="Tahoma"/>
                <w:color w:val="000000" w:themeColor="text1"/>
                <w:sz w:val="22"/>
                <w:szCs w:val="20"/>
              </w:rPr>
            </w:pPr>
            <w:r w:rsidRPr="002A32D3">
              <w:rPr>
                <w:rFonts w:ascii="Tahoma" w:hAnsi="Tahoma"/>
                <w:color w:val="000000" w:themeColor="text1"/>
                <w:sz w:val="22"/>
                <w:szCs w:val="20"/>
              </w:rPr>
              <w:t>No member may stand for more than one role in the same election</w:t>
            </w:r>
            <w:r w:rsidR="00E02666" w:rsidRPr="002A32D3">
              <w:rPr>
                <w:rFonts w:ascii="Tahoma" w:hAnsi="Tahoma"/>
                <w:color w:val="000000" w:themeColor="text1"/>
                <w:sz w:val="22"/>
                <w:szCs w:val="20"/>
              </w:rPr>
              <w:t xml:space="preserve">, unless one role is as a NUS Conference delegate </w:t>
            </w:r>
          </w:p>
          <w:p w14:paraId="00F25A18" w14:textId="77777777" w:rsidR="008B5A07" w:rsidRPr="002A32D3" w:rsidRDefault="000A5ADF" w:rsidP="00BB66D0">
            <w:pPr>
              <w:pStyle w:val="ListParagraph"/>
              <w:numPr>
                <w:ilvl w:val="0"/>
                <w:numId w:val="1"/>
              </w:numPr>
              <w:jc w:val="both"/>
              <w:outlineLvl w:val="0"/>
              <w:rPr>
                <w:rFonts w:ascii="Tahoma" w:hAnsi="Tahoma" w:cs="Tahoma"/>
                <w:color w:val="000000" w:themeColor="text1"/>
                <w:sz w:val="20"/>
                <w:szCs w:val="20"/>
              </w:rPr>
            </w:pPr>
            <w:r w:rsidRPr="002A32D3">
              <w:rPr>
                <w:rFonts w:ascii="Tahoma" w:hAnsi="Tahoma"/>
                <w:sz w:val="22"/>
                <w:szCs w:val="20"/>
              </w:rPr>
              <w:t>The Union will organise a Candidate Briefing at the close of standing in the Students’ Union. At the briefing the DRO will deliver a briefing on elections rules and brief candidates on relevant updates. Those unable to make this meeting should ensure they arrange to speak to the DRO before campaigning.</w:t>
            </w:r>
          </w:p>
        </w:tc>
      </w:tr>
      <w:tr w:rsidR="00AC5E40" w:rsidRPr="002A32D3" w14:paraId="7A3B17AB" w14:textId="77777777" w:rsidTr="00815B9B">
        <w:tc>
          <w:tcPr>
            <w:tcW w:w="10456" w:type="dxa"/>
            <w:gridSpan w:val="2"/>
          </w:tcPr>
          <w:p w14:paraId="2C0295D7" w14:textId="77777777" w:rsidR="00AC5E40" w:rsidRPr="002A32D3" w:rsidRDefault="00AC5E40" w:rsidP="00C1324F">
            <w:pPr>
              <w:rPr>
                <w:b/>
              </w:rPr>
            </w:pPr>
          </w:p>
        </w:tc>
      </w:tr>
      <w:tr w:rsidR="00C1324F" w:rsidRPr="002A32D3" w14:paraId="735BA6D4" w14:textId="77777777" w:rsidTr="00815B9B">
        <w:tc>
          <w:tcPr>
            <w:tcW w:w="10456" w:type="dxa"/>
            <w:gridSpan w:val="2"/>
            <w:shd w:val="clear" w:color="auto" w:fill="C9252B"/>
          </w:tcPr>
          <w:p w14:paraId="4807EEA9" w14:textId="77777777" w:rsidR="00C1324F" w:rsidRPr="002A32D3" w:rsidRDefault="00C1324F" w:rsidP="00C1324F">
            <w:pPr>
              <w:rPr>
                <w:noProof/>
              </w:rPr>
            </w:pPr>
            <w:r w:rsidRPr="002A32D3">
              <w:rPr>
                <w:b/>
                <w:color w:val="FFFFFF" w:themeColor="background1"/>
              </w:rPr>
              <w:t>CAMPAIGNING</w:t>
            </w:r>
          </w:p>
        </w:tc>
      </w:tr>
      <w:tr w:rsidR="00C1324F" w:rsidRPr="002A32D3" w14:paraId="06B259B8" w14:textId="77777777" w:rsidTr="00815B9B">
        <w:tc>
          <w:tcPr>
            <w:tcW w:w="10456" w:type="dxa"/>
            <w:gridSpan w:val="2"/>
          </w:tcPr>
          <w:p w14:paraId="3CE9B23A" w14:textId="3F8CFAA3" w:rsidR="00DD5AA9" w:rsidRPr="002A32D3" w:rsidRDefault="00C1324F" w:rsidP="00C1324F">
            <w:pPr>
              <w:pStyle w:val="ListParagraph"/>
              <w:numPr>
                <w:ilvl w:val="0"/>
                <w:numId w:val="2"/>
              </w:numPr>
              <w:jc w:val="both"/>
              <w:outlineLvl w:val="0"/>
              <w:rPr>
                <w:rFonts w:ascii="Tahoma" w:hAnsi="Tahoma" w:cs="Tahoma"/>
                <w:sz w:val="22"/>
                <w:szCs w:val="22"/>
              </w:rPr>
            </w:pPr>
            <w:r w:rsidRPr="002A32D3">
              <w:rPr>
                <w:rFonts w:ascii="Tahoma" w:hAnsi="Tahoma"/>
                <w:sz w:val="22"/>
                <w:szCs w:val="22"/>
              </w:rPr>
              <w:t>Candidates are responsible for the actions of campaigners who support their campaign for election, collectively known as a campaigns team. A campaigner is defined as someone who would reasonably thought to be acting on behalf of a candidate to further the election of that candidate.</w:t>
            </w:r>
          </w:p>
          <w:p w14:paraId="1E1C0043" w14:textId="7F240E3D" w:rsidR="00C1324F" w:rsidRPr="002A32D3" w:rsidRDefault="00DD5AA9" w:rsidP="00C1324F">
            <w:pPr>
              <w:pStyle w:val="ListParagraph"/>
              <w:numPr>
                <w:ilvl w:val="0"/>
                <w:numId w:val="2"/>
              </w:numPr>
              <w:jc w:val="both"/>
              <w:outlineLvl w:val="0"/>
              <w:rPr>
                <w:rFonts w:ascii="Tahoma" w:hAnsi="Tahoma" w:cs="Tahoma"/>
                <w:sz w:val="22"/>
                <w:szCs w:val="22"/>
              </w:rPr>
            </w:pPr>
            <w:r w:rsidRPr="002A32D3">
              <w:rPr>
                <w:rFonts w:ascii="Tahoma" w:hAnsi="Tahoma"/>
                <w:sz w:val="22"/>
                <w:szCs w:val="22"/>
              </w:rPr>
              <w:t>Candidates must take all reasonable steps to ensure their campaigners actions comply with the campaign rules and must be able to demonstrate this in the event of a complaint against them.</w:t>
            </w:r>
          </w:p>
          <w:p w14:paraId="3342DDE3" w14:textId="25433B1D" w:rsidR="00C1324F" w:rsidRPr="002A32D3" w:rsidRDefault="00DD5AA9" w:rsidP="00C1324F">
            <w:pPr>
              <w:pStyle w:val="ListParagraph"/>
              <w:numPr>
                <w:ilvl w:val="0"/>
                <w:numId w:val="2"/>
              </w:numPr>
              <w:jc w:val="both"/>
              <w:outlineLvl w:val="0"/>
              <w:rPr>
                <w:rFonts w:ascii="Tahoma" w:hAnsi="Tahoma" w:cs="Tahoma"/>
                <w:sz w:val="22"/>
                <w:szCs w:val="22"/>
              </w:rPr>
            </w:pPr>
            <w:r w:rsidRPr="002A32D3">
              <w:rPr>
                <w:rFonts w:ascii="Tahoma" w:hAnsi="Tahoma"/>
                <w:sz w:val="22"/>
                <w:szCs w:val="22"/>
              </w:rPr>
              <w:t>Candidates and their campaigners should only undertake campaign activity which others have equal opportunity to do.</w:t>
            </w:r>
          </w:p>
          <w:p w14:paraId="2747153F" w14:textId="64DA0BAB" w:rsidR="00C1324F" w:rsidRPr="002A32D3" w:rsidRDefault="00DD5AA9" w:rsidP="00C1324F">
            <w:pPr>
              <w:pStyle w:val="ListParagraph"/>
              <w:numPr>
                <w:ilvl w:val="0"/>
                <w:numId w:val="2"/>
              </w:numPr>
              <w:jc w:val="both"/>
              <w:outlineLvl w:val="0"/>
              <w:rPr>
                <w:rFonts w:ascii="Tahoma" w:hAnsi="Tahoma" w:cs="Tahoma"/>
                <w:sz w:val="22"/>
                <w:szCs w:val="22"/>
              </w:rPr>
            </w:pPr>
            <w:r w:rsidRPr="002A32D3">
              <w:rPr>
                <w:rFonts w:ascii="Tahoma" w:hAnsi="Tahoma"/>
                <w:sz w:val="22"/>
                <w:szCs w:val="22"/>
              </w:rPr>
              <w:t>Candidates and their campaigners should conduct themselves in a way that is respectful to others and must not engage in behaviour which is threatening, harassing or risking the wellbeing and safety of others.</w:t>
            </w:r>
          </w:p>
          <w:p w14:paraId="6D06EC2C" w14:textId="1BFE9356" w:rsidR="00C1324F" w:rsidRPr="002A32D3" w:rsidRDefault="00DD5AA9" w:rsidP="00C1324F">
            <w:pPr>
              <w:pStyle w:val="ListParagraph"/>
              <w:numPr>
                <w:ilvl w:val="0"/>
                <w:numId w:val="2"/>
              </w:numPr>
              <w:jc w:val="both"/>
              <w:outlineLvl w:val="0"/>
              <w:rPr>
                <w:rFonts w:ascii="Tahoma" w:hAnsi="Tahoma" w:cs="Tahoma"/>
                <w:sz w:val="22"/>
                <w:szCs w:val="22"/>
              </w:rPr>
            </w:pPr>
            <w:r w:rsidRPr="002A32D3">
              <w:rPr>
                <w:rFonts w:ascii="Tahoma" w:hAnsi="Tahoma"/>
                <w:sz w:val="22"/>
                <w:szCs w:val="22"/>
              </w:rPr>
              <w:t>Candidates and their campaigners must not use University or Students’ Union resources to campaign with except where explicitly permitted by the DRO.</w:t>
            </w:r>
          </w:p>
          <w:p w14:paraId="3D9F4F77" w14:textId="10671985" w:rsidR="00C1324F" w:rsidRPr="002A32D3" w:rsidRDefault="00DD5AA9" w:rsidP="00C1324F">
            <w:pPr>
              <w:pStyle w:val="ListParagraph"/>
              <w:numPr>
                <w:ilvl w:val="0"/>
                <w:numId w:val="2"/>
              </w:numPr>
              <w:jc w:val="both"/>
              <w:outlineLvl w:val="0"/>
              <w:rPr>
                <w:rFonts w:ascii="Tahoma" w:hAnsi="Tahoma" w:cs="Tahoma"/>
                <w:sz w:val="22"/>
                <w:szCs w:val="22"/>
              </w:rPr>
            </w:pPr>
            <w:r w:rsidRPr="002A32D3">
              <w:rPr>
                <w:rFonts w:ascii="Tahoma" w:hAnsi="Tahoma"/>
                <w:sz w:val="22"/>
                <w:szCs w:val="22"/>
              </w:rPr>
              <w:t>Candidates and their campaigners must not state that they (or the candidate they support) have been endorsed by the Union or by individual members of Union staff.</w:t>
            </w:r>
          </w:p>
          <w:p w14:paraId="23B86F42" w14:textId="5E4ABD89" w:rsidR="00C1324F" w:rsidRPr="002A32D3" w:rsidRDefault="00DD5AA9" w:rsidP="00C1324F">
            <w:pPr>
              <w:pStyle w:val="ListParagraph"/>
              <w:numPr>
                <w:ilvl w:val="0"/>
                <w:numId w:val="2"/>
              </w:numPr>
              <w:jc w:val="both"/>
              <w:outlineLvl w:val="0"/>
              <w:rPr>
                <w:rFonts w:ascii="Tahoma" w:hAnsi="Tahoma" w:cs="Tahoma"/>
                <w:sz w:val="22"/>
                <w:szCs w:val="22"/>
              </w:rPr>
            </w:pPr>
            <w:r w:rsidRPr="002A32D3">
              <w:rPr>
                <w:rFonts w:ascii="Tahoma" w:hAnsi="Tahoma"/>
                <w:sz w:val="22"/>
                <w:szCs w:val="22"/>
              </w:rPr>
              <w:t>Candidates and their campaigners must not cast, or attempt to cast a vote on behalf of another student.</w:t>
            </w:r>
          </w:p>
          <w:p w14:paraId="75910772" w14:textId="77777777" w:rsidR="00AC5E40" w:rsidRPr="002A32D3" w:rsidRDefault="00C1324F" w:rsidP="00AC5E40">
            <w:pPr>
              <w:pStyle w:val="ListParagraph"/>
              <w:numPr>
                <w:ilvl w:val="0"/>
                <w:numId w:val="2"/>
              </w:numPr>
              <w:jc w:val="both"/>
              <w:outlineLvl w:val="0"/>
              <w:rPr>
                <w:rFonts w:ascii="Tahoma" w:hAnsi="Tahoma" w:cs="Tahoma"/>
                <w:sz w:val="22"/>
                <w:szCs w:val="22"/>
              </w:rPr>
            </w:pPr>
            <w:r w:rsidRPr="002A32D3">
              <w:rPr>
                <w:rFonts w:ascii="Tahoma" w:hAnsi="Tahoma"/>
                <w:sz w:val="22"/>
                <w:szCs w:val="22"/>
              </w:rPr>
              <w:t>Bribery of voters must not be used as part of any campaign.</w:t>
            </w:r>
          </w:p>
          <w:p w14:paraId="57D7A3C3" w14:textId="74560FC7" w:rsidR="00AC5E40" w:rsidRPr="002A32D3" w:rsidRDefault="00DD5AA9" w:rsidP="00AC5E40">
            <w:pPr>
              <w:pStyle w:val="ListParagraph"/>
              <w:numPr>
                <w:ilvl w:val="0"/>
                <w:numId w:val="2"/>
              </w:numPr>
              <w:jc w:val="both"/>
              <w:outlineLvl w:val="0"/>
              <w:rPr>
                <w:rFonts w:ascii="Tahoma" w:hAnsi="Tahoma" w:cs="Tahoma"/>
                <w:sz w:val="22"/>
                <w:szCs w:val="22"/>
              </w:rPr>
            </w:pPr>
            <w:r w:rsidRPr="002A32D3">
              <w:rPr>
                <w:rFonts w:ascii="Tahoma" w:hAnsi="Tahoma"/>
                <w:sz w:val="22"/>
                <w:szCs w:val="22"/>
              </w:rPr>
              <w:lastRenderedPageBreak/>
              <w:t>Candidates and their campaigners must adhere to all existing wider laws and rules which govern individual and student behaviour.</w:t>
            </w:r>
          </w:p>
        </w:tc>
      </w:tr>
      <w:tr w:rsidR="00AC5E40" w:rsidRPr="002A32D3" w14:paraId="45E46118" w14:textId="77777777" w:rsidTr="00815B9B">
        <w:tc>
          <w:tcPr>
            <w:tcW w:w="10456" w:type="dxa"/>
            <w:gridSpan w:val="2"/>
          </w:tcPr>
          <w:p w14:paraId="03288E36" w14:textId="77777777" w:rsidR="00C05838" w:rsidRPr="002A32D3" w:rsidRDefault="00C05838" w:rsidP="00AC5E40">
            <w:pPr>
              <w:jc w:val="both"/>
              <w:outlineLvl w:val="0"/>
            </w:pPr>
          </w:p>
        </w:tc>
      </w:tr>
      <w:tr w:rsidR="00C1324F" w:rsidRPr="002A32D3" w14:paraId="3ABB97B9" w14:textId="77777777" w:rsidTr="00815B9B">
        <w:tc>
          <w:tcPr>
            <w:tcW w:w="10456" w:type="dxa"/>
            <w:gridSpan w:val="2"/>
            <w:shd w:val="clear" w:color="auto" w:fill="0071A2"/>
          </w:tcPr>
          <w:p w14:paraId="656DA764" w14:textId="77777777" w:rsidR="00C1324F" w:rsidRPr="002A32D3" w:rsidRDefault="00AC5E40" w:rsidP="00AC5E40">
            <w:pPr>
              <w:jc w:val="both"/>
              <w:outlineLvl w:val="0"/>
              <w:rPr>
                <w:rFonts w:cs="Tahoma"/>
                <w:b/>
              </w:rPr>
            </w:pPr>
            <w:r w:rsidRPr="002A32D3">
              <w:rPr>
                <w:b/>
                <w:color w:val="FFFFFF" w:themeColor="background1"/>
              </w:rPr>
              <w:t>BUDGET</w:t>
            </w:r>
          </w:p>
        </w:tc>
      </w:tr>
      <w:tr w:rsidR="00C1324F" w:rsidRPr="002A32D3" w14:paraId="421C5CCA" w14:textId="77777777" w:rsidTr="00815B9B">
        <w:tc>
          <w:tcPr>
            <w:tcW w:w="10456" w:type="dxa"/>
            <w:gridSpan w:val="2"/>
          </w:tcPr>
          <w:p w14:paraId="49B8595E" w14:textId="77777777" w:rsidR="000A5ADF" w:rsidRPr="002A32D3" w:rsidRDefault="000A5ADF" w:rsidP="000A5ADF">
            <w:pPr>
              <w:pStyle w:val="ListParagraph"/>
              <w:numPr>
                <w:ilvl w:val="0"/>
                <w:numId w:val="3"/>
              </w:numPr>
              <w:jc w:val="both"/>
              <w:rPr>
                <w:rFonts w:ascii="Tahoma" w:hAnsi="Tahoma" w:cs="Tahoma"/>
                <w:sz w:val="22"/>
                <w:szCs w:val="22"/>
              </w:rPr>
            </w:pPr>
            <w:r w:rsidRPr="002A32D3">
              <w:rPr>
                <w:rFonts w:ascii="Tahoma" w:hAnsi="Tahoma"/>
                <w:sz w:val="22"/>
                <w:szCs w:val="22"/>
              </w:rPr>
              <w:t>The campaign budgets will be set by the DRO and will be communicated at the candidates briefing. These will be reimbursed by the Union on the provision of receipts.</w:t>
            </w:r>
          </w:p>
          <w:p w14:paraId="404937BA" w14:textId="24A82B6C" w:rsidR="000A5ADF" w:rsidRPr="002A32D3" w:rsidRDefault="00E34399" w:rsidP="000A5ADF">
            <w:pPr>
              <w:pStyle w:val="ListParagraph"/>
              <w:numPr>
                <w:ilvl w:val="0"/>
                <w:numId w:val="3"/>
              </w:numPr>
              <w:jc w:val="both"/>
              <w:rPr>
                <w:rFonts w:ascii="Tahoma" w:hAnsi="Tahoma" w:cs="Tahoma"/>
                <w:sz w:val="22"/>
                <w:szCs w:val="22"/>
              </w:rPr>
            </w:pPr>
            <w:r w:rsidRPr="002A32D3">
              <w:rPr>
                <w:rFonts w:ascii="Tahoma" w:hAnsi="Tahoma"/>
                <w:sz w:val="22"/>
                <w:szCs w:val="22"/>
              </w:rPr>
              <w:t>Candidates must not exceed their budget limits.</w:t>
            </w:r>
          </w:p>
          <w:p w14:paraId="53EBA679" w14:textId="464DCE82" w:rsidR="000A5ADF" w:rsidRPr="002A32D3" w:rsidRDefault="00E34399" w:rsidP="000A5ADF">
            <w:pPr>
              <w:pStyle w:val="ListParagraph"/>
              <w:numPr>
                <w:ilvl w:val="0"/>
                <w:numId w:val="3"/>
              </w:numPr>
              <w:jc w:val="both"/>
              <w:rPr>
                <w:rFonts w:ascii="Tahoma" w:hAnsi="Tahoma" w:cs="Tahoma"/>
                <w:sz w:val="22"/>
                <w:szCs w:val="22"/>
              </w:rPr>
            </w:pPr>
            <w:r w:rsidRPr="002A32D3">
              <w:rPr>
                <w:rFonts w:ascii="Tahoma" w:hAnsi="Tahoma"/>
                <w:sz w:val="22"/>
                <w:szCs w:val="22"/>
              </w:rPr>
              <w:t>Candidates must submit a written list of campaign costs with corresponding receipts to the DRO within one hour of the close of voting. If candidates do not spend any money during their campaign this must be made clear on the submission.</w:t>
            </w:r>
          </w:p>
          <w:p w14:paraId="125E49E0" w14:textId="19B2B02D" w:rsidR="000A5ADF" w:rsidRPr="002A32D3" w:rsidRDefault="000A5ADF" w:rsidP="000A5ADF">
            <w:pPr>
              <w:pStyle w:val="ListParagraph"/>
              <w:numPr>
                <w:ilvl w:val="0"/>
                <w:numId w:val="3"/>
              </w:numPr>
              <w:jc w:val="both"/>
              <w:rPr>
                <w:rFonts w:ascii="Tahoma" w:hAnsi="Tahoma" w:cs="Tahoma"/>
                <w:sz w:val="22"/>
                <w:szCs w:val="22"/>
              </w:rPr>
            </w:pPr>
            <w:r w:rsidRPr="002A32D3">
              <w:rPr>
                <w:rFonts w:ascii="Tahoma" w:hAnsi="Tahoma"/>
                <w:sz w:val="22"/>
                <w:szCs w:val="22"/>
              </w:rPr>
              <w:t>All materials used by a candidate must be included within their statement of expenditure alongside receipts or a reasonable estimated market rate.</w:t>
            </w:r>
          </w:p>
          <w:p w14:paraId="4644C8A7" w14:textId="77777777" w:rsidR="000A5ADF" w:rsidRPr="002A32D3" w:rsidRDefault="000A5ADF" w:rsidP="000A5ADF">
            <w:pPr>
              <w:pStyle w:val="ListParagraph"/>
              <w:numPr>
                <w:ilvl w:val="0"/>
                <w:numId w:val="3"/>
              </w:numPr>
              <w:jc w:val="both"/>
              <w:rPr>
                <w:rFonts w:ascii="Tahoma" w:hAnsi="Tahoma" w:cs="Tahoma"/>
                <w:sz w:val="22"/>
                <w:szCs w:val="22"/>
              </w:rPr>
            </w:pPr>
            <w:r w:rsidRPr="002A32D3">
              <w:rPr>
                <w:rFonts w:ascii="Tahoma" w:hAnsi="Tahoma"/>
                <w:sz w:val="22"/>
                <w:szCs w:val="22"/>
              </w:rPr>
              <w:t>All items not purchased but used for campaign purposes must be valued by the DRO.</w:t>
            </w:r>
          </w:p>
          <w:p w14:paraId="57D283EF" w14:textId="77777777" w:rsidR="00C1324F" w:rsidRPr="002A32D3" w:rsidRDefault="000A5ADF" w:rsidP="00EF67A7">
            <w:pPr>
              <w:pStyle w:val="ListParagraph"/>
              <w:numPr>
                <w:ilvl w:val="0"/>
                <w:numId w:val="3"/>
              </w:numPr>
              <w:jc w:val="both"/>
              <w:rPr>
                <w:rFonts w:ascii="Tahoma" w:hAnsi="Tahoma" w:cs="Tahoma"/>
                <w:sz w:val="22"/>
                <w:szCs w:val="22"/>
              </w:rPr>
            </w:pPr>
            <w:r w:rsidRPr="002A32D3">
              <w:rPr>
                <w:rFonts w:ascii="Tahoma" w:hAnsi="Tahoma"/>
                <w:sz w:val="22"/>
                <w:szCs w:val="22"/>
              </w:rPr>
              <w:t>The exception to the rule above are materials and resources available to all e.g. the free use of social media sites.</w:t>
            </w:r>
          </w:p>
        </w:tc>
      </w:tr>
      <w:tr w:rsidR="00AC5E40" w:rsidRPr="002A32D3" w14:paraId="59E659C5" w14:textId="77777777" w:rsidTr="00815B9B">
        <w:tc>
          <w:tcPr>
            <w:tcW w:w="10456" w:type="dxa"/>
            <w:gridSpan w:val="2"/>
          </w:tcPr>
          <w:p w14:paraId="5520799D" w14:textId="77777777" w:rsidR="00AC5E40" w:rsidRPr="002A32D3" w:rsidRDefault="00AC5E40" w:rsidP="00AC5E40">
            <w:pPr>
              <w:jc w:val="both"/>
              <w:outlineLvl w:val="0"/>
              <w:rPr>
                <w:b/>
              </w:rPr>
            </w:pPr>
          </w:p>
        </w:tc>
      </w:tr>
      <w:tr w:rsidR="00AC5E40" w:rsidRPr="002A32D3" w14:paraId="5181DC10" w14:textId="77777777" w:rsidTr="00815B9B">
        <w:tc>
          <w:tcPr>
            <w:tcW w:w="10456" w:type="dxa"/>
            <w:gridSpan w:val="2"/>
            <w:shd w:val="clear" w:color="auto" w:fill="008F4C"/>
          </w:tcPr>
          <w:p w14:paraId="750EBD52" w14:textId="77777777" w:rsidR="00AC5E40" w:rsidRPr="002A32D3" w:rsidRDefault="00AC5E40" w:rsidP="00AC5E40">
            <w:pPr>
              <w:jc w:val="both"/>
              <w:outlineLvl w:val="0"/>
              <w:rPr>
                <w:rFonts w:cs="Tahoma"/>
                <w:b/>
              </w:rPr>
            </w:pPr>
            <w:r w:rsidRPr="002A32D3">
              <w:rPr>
                <w:b/>
                <w:color w:val="FFFFFF" w:themeColor="background1"/>
              </w:rPr>
              <w:t>COUNT AND ANNOUNCEMENT</w:t>
            </w:r>
          </w:p>
        </w:tc>
      </w:tr>
      <w:tr w:rsidR="00AC5E40" w:rsidRPr="002A32D3" w14:paraId="39FAC35B" w14:textId="77777777" w:rsidTr="00815B9B">
        <w:tc>
          <w:tcPr>
            <w:tcW w:w="10456" w:type="dxa"/>
            <w:gridSpan w:val="2"/>
          </w:tcPr>
          <w:p w14:paraId="7DE43397" w14:textId="3B20688B" w:rsidR="00AC5E40" w:rsidRPr="002A32D3" w:rsidRDefault="00AC5E40" w:rsidP="00EB1DD8">
            <w:pPr>
              <w:pStyle w:val="ListParagraph"/>
              <w:numPr>
                <w:ilvl w:val="0"/>
                <w:numId w:val="6"/>
              </w:numPr>
              <w:jc w:val="both"/>
              <w:outlineLvl w:val="0"/>
              <w:rPr>
                <w:rFonts w:ascii="Tahoma" w:hAnsi="Tahoma" w:cs="Tahoma"/>
                <w:sz w:val="22"/>
                <w:szCs w:val="22"/>
              </w:rPr>
            </w:pPr>
            <w:r w:rsidRPr="002A32D3">
              <w:rPr>
                <w:rFonts w:ascii="Tahoma" w:hAnsi="Tahoma"/>
                <w:sz w:val="22"/>
                <w:szCs w:val="22"/>
              </w:rPr>
              <w:t>The count shall be supervised by the Deputy Returning Officer or their nominee.</w:t>
            </w:r>
          </w:p>
          <w:p w14:paraId="1FF5F668" w14:textId="3B7F85AF" w:rsidR="00AC5E40" w:rsidRPr="002A32D3" w:rsidRDefault="00AC5E40" w:rsidP="00EB1DD8">
            <w:pPr>
              <w:pStyle w:val="ListParagraph"/>
              <w:numPr>
                <w:ilvl w:val="0"/>
                <w:numId w:val="6"/>
              </w:numPr>
              <w:jc w:val="both"/>
              <w:outlineLvl w:val="0"/>
              <w:rPr>
                <w:rFonts w:ascii="Tahoma" w:hAnsi="Tahoma" w:cs="Tahoma"/>
              </w:rPr>
            </w:pPr>
            <w:r w:rsidRPr="002A32D3">
              <w:rPr>
                <w:rFonts w:ascii="Tahoma" w:hAnsi="Tahoma"/>
                <w:sz w:val="22"/>
                <w:szCs w:val="22"/>
              </w:rPr>
              <w:t>The results of Union voting will only come into effect once the Deputy Returning Officer has certified the result is the accurate outcome of a free and fair procedure.</w:t>
            </w:r>
          </w:p>
        </w:tc>
      </w:tr>
      <w:tr w:rsidR="00AC5E40" w:rsidRPr="002A32D3" w14:paraId="0680B6B2" w14:textId="77777777" w:rsidTr="00815B9B">
        <w:tc>
          <w:tcPr>
            <w:tcW w:w="10456" w:type="dxa"/>
            <w:gridSpan w:val="2"/>
          </w:tcPr>
          <w:p w14:paraId="64255026" w14:textId="77777777" w:rsidR="00AC5E40" w:rsidRPr="002A32D3" w:rsidRDefault="00AC5E40" w:rsidP="00AC5E40">
            <w:pPr>
              <w:jc w:val="both"/>
              <w:outlineLvl w:val="0"/>
              <w:rPr>
                <w:b/>
              </w:rPr>
            </w:pPr>
          </w:p>
        </w:tc>
      </w:tr>
      <w:tr w:rsidR="00AC5E40" w:rsidRPr="002A32D3" w14:paraId="3E1DE4F4" w14:textId="77777777" w:rsidTr="00815B9B">
        <w:tc>
          <w:tcPr>
            <w:tcW w:w="10456" w:type="dxa"/>
            <w:gridSpan w:val="2"/>
            <w:shd w:val="clear" w:color="auto" w:fill="F7941E"/>
          </w:tcPr>
          <w:p w14:paraId="12ED8BEE" w14:textId="77777777" w:rsidR="00AC5E40" w:rsidRPr="002A32D3" w:rsidRDefault="00AC5E40" w:rsidP="00AC5E40">
            <w:pPr>
              <w:jc w:val="both"/>
              <w:outlineLvl w:val="0"/>
              <w:rPr>
                <w:rFonts w:cs="Tahoma"/>
                <w:b/>
              </w:rPr>
            </w:pPr>
            <w:r w:rsidRPr="002A32D3">
              <w:rPr>
                <w:b/>
                <w:color w:val="FFFFFF" w:themeColor="background1"/>
              </w:rPr>
              <w:t>COMPLAINTS AND APPEALS</w:t>
            </w:r>
          </w:p>
        </w:tc>
      </w:tr>
      <w:tr w:rsidR="00AC5E40" w:rsidRPr="002A32D3" w14:paraId="0F7629DF" w14:textId="77777777" w:rsidTr="00815B9B">
        <w:tc>
          <w:tcPr>
            <w:tcW w:w="10456" w:type="dxa"/>
            <w:gridSpan w:val="2"/>
          </w:tcPr>
          <w:p w14:paraId="1BE54706" w14:textId="66779152" w:rsidR="00AC5E40" w:rsidRPr="002A32D3" w:rsidRDefault="00AC5E40" w:rsidP="00EB1DD8">
            <w:pPr>
              <w:pStyle w:val="ListParagraph"/>
              <w:numPr>
                <w:ilvl w:val="0"/>
                <w:numId w:val="5"/>
              </w:numPr>
              <w:jc w:val="both"/>
              <w:rPr>
                <w:rFonts w:ascii="Tahoma" w:hAnsi="Tahoma" w:cs="Tahoma"/>
                <w:sz w:val="22"/>
                <w:szCs w:val="22"/>
              </w:rPr>
            </w:pPr>
            <w:r w:rsidRPr="002A32D3">
              <w:rPr>
                <w:rFonts w:ascii="Tahoma" w:hAnsi="Tahoma"/>
                <w:sz w:val="22"/>
                <w:szCs w:val="22"/>
              </w:rPr>
              <w:t>The RO and DRO will take sole responsibility for interpretation of these rules and Union Bye-Laws.</w:t>
            </w:r>
          </w:p>
          <w:p w14:paraId="45E2779D" w14:textId="77777777" w:rsidR="00AC5E40" w:rsidRPr="002A32D3" w:rsidRDefault="00AC5E40" w:rsidP="00EB1DD8">
            <w:pPr>
              <w:pStyle w:val="ListParagraph"/>
              <w:numPr>
                <w:ilvl w:val="0"/>
                <w:numId w:val="5"/>
              </w:numPr>
              <w:jc w:val="both"/>
              <w:rPr>
                <w:rFonts w:ascii="Tahoma" w:hAnsi="Tahoma" w:cs="Tahoma"/>
                <w:sz w:val="22"/>
                <w:szCs w:val="22"/>
              </w:rPr>
            </w:pPr>
            <w:r w:rsidRPr="002A32D3">
              <w:rPr>
                <w:rFonts w:ascii="Tahoma" w:hAnsi="Tahoma"/>
                <w:sz w:val="22"/>
                <w:szCs w:val="22"/>
              </w:rPr>
              <w:t>For a complaint regarding an alleged breach of the Bye-Laws to be investigated, it must be made in writing using the appropriate online form to the DRO. The complaint must specify clear grounds referencing these rules.</w:t>
            </w:r>
          </w:p>
          <w:p w14:paraId="1C1391FC" w14:textId="77777777" w:rsidR="00AC5E40" w:rsidRPr="002A32D3" w:rsidRDefault="00AC5E40" w:rsidP="00EB1DD8">
            <w:pPr>
              <w:pStyle w:val="ListParagraph"/>
              <w:numPr>
                <w:ilvl w:val="0"/>
                <w:numId w:val="5"/>
              </w:numPr>
              <w:jc w:val="both"/>
              <w:rPr>
                <w:rFonts w:ascii="Tahoma" w:hAnsi="Tahoma" w:cs="Tahoma"/>
                <w:sz w:val="22"/>
                <w:szCs w:val="22"/>
              </w:rPr>
            </w:pPr>
            <w:r w:rsidRPr="002A32D3">
              <w:rPr>
                <w:rFonts w:ascii="Tahoma" w:hAnsi="Tahoma"/>
                <w:sz w:val="22"/>
                <w:szCs w:val="22"/>
              </w:rPr>
              <w:t>The DRO will investigate complaints and refer matters to the RO for decision.</w:t>
            </w:r>
          </w:p>
          <w:p w14:paraId="35D4431E" w14:textId="77777777" w:rsidR="00AC5E40" w:rsidRPr="002A32D3" w:rsidRDefault="00AC5E40" w:rsidP="00EB1DD8">
            <w:pPr>
              <w:pStyle w:val="ListParagraph"/>
              <w:numPr>
                <w:ilvl w:val="0"/>
                <w:numId w:val="5"/>
              </w:numPr>
              <w:jc w:val="both"/>
              <w:rPr>
                <w:rFonts w:ascii="Tahoma" w:hAnsi="Tahoma" w:cs="Tahoma"/>
                <w:sz w:val="22"/>
                <w:szCs w:val="22"/>
              </w:rPr>
            </w:pPr>
            <w:r w:rsidRPr="002A32D3">
              <w:rPr>
                <w:rFonts w:ascii="Tahoma" w:hAnsi="Tahoma"/>
                <w:sz w:val="22"/>
                <w:szCs w:val="22"/>
              </w:rPr>
              <w:t>The RO can decide to act based on the outcome of decisions. This can include halting the election for specific posts, referring a matter to be dealt with by the Union or University disciplinary procedures or disqualifying candidates.</w:t>
            </w:r>
          </w:p>
          <w:p w14:paraId="2B1FB62F" w14:textId="77777777" w:rsidR="00AC5E40" w:rsidRPr="002A32D3" w:rsidRDefault="00AC5E40" w:rsidP="00EB1DD8">
            <w:pPr>
              <w:pStyle w:val="ListParagraph"/>
              <w:numPr>
                <w:ilvl w:val="0"/>
                <w:numId w:val="5"/>
              </w:numPr>
              <w:jc w:val="both"/>
              <w:rPr>
                <w:rFonts w:ascii="Tahoma" w:hAnsi="Tahoma" w:cs="Tahoma"/>
                <w:sz w:val="22"/>
                <w:szCs w:val="22"/>
              </w:rPr>
            </w:pPr>
            <w:r w:rsidRPr="002A32D3">
              <w:rPr>
                <w:rFonts w:ascii="Tahoma" w:hAnsi="Tahoma"/>
                <w:sz w:val="22"/>
                <w:szCs w:val="22"/>
              </w:rPr>
              <w:t>The RO’s rulings shall take immediate effect.</w:t>
            </w:r>
          </w:p>
          <w:p w14:paraId="7A9CEC35" w14:textId="77777777" w:rsidR="00AC5E40" w:rsidRPr="002A32D3" w:rsidRDefault="00AC5E40" w:rsidP="00EB1DD8">
            <w:pPr>
              <w:pStyle w:val="ListParagraph"/>
              <w:numPr>
                <w:ilvl w:val="0"/>
                <w:numId w:val="5"/>
              </w:numPr>
              <w:jc w:val="both"/>
              <w:rPr>
                <w:rFonts w:ascii="Tahoma" w:hAnsi="Tahoma" w:cs="Tahoma"/>
                <w:sz w:val="22"/>
                <w:szCs w:val="22"/>
              </w:rPr>
            </w:pPr>
            <w:r w:rsidRPr="002A32D3">
              <w:rPr>
                <w:rFonts w:ascii="Tahoma" w:hAnsi="Tahoma"/>
                <w:sz w:val="22"/>
                <w:szCs w:val="22"/>
              </w:rPr>
              <w:t>Complaints must be received before the count begins, and no later than one hour after the close of voting.</w:t>
            </w:r>
          </w:p>
          <w:p w14:paraId="711EA3DD" w14:textId="3FE50ECE" w:rsidR="00AC5E40" w:rsidRPr="002A32D3" w:rsidRDefault="00AC5E40" w:rsidP="00EB1DD8">
            <w:pPr>
              <w:pStyle w:val="ListParagraph"/>
              <w:numPr>
                <w:ilvl w:val="0"/>
                <w:numId w:val="5"/>
              </w:numPr>
              <w:jc w:val="both"/>
              <w:rPr>
                <w:rFonts w:ascii="Tahoma" w:hAnsi="Tahoma" w:cs="Tahoma"/>
                <w:sz w:val="22"/>
                <w:szCs w:val="22"/>
              </w:rPr>
            </w:pPr>
            <w:r w:rsidRPr="002A32D3">
              <w:rPr>
                <w:rFonts w:ascii="Tahoma" w:hAnsi="Tahoma"/>
                <w:sz w:val="22"/>
                <w:szCs w:val="22"/>
              </w:rPr>
              <w:t>Complaints about the count must be made in writing using the appropriate online form to the DRO before the announcement of results.</w:t>
            </w:r>
          </w:p>
          <w:p w14:paraId="3F8143CE" w14:textId="5175C0E3" w:rsidR="00AC5E40" w:rsidRPr="002A32D3" w:rsidRDefault="00AC5E40" w:rsidP="00EB1DD8">
            <w:pPr>
              <w:pStyle w:val="ListParagraph"/>
              <w:numPr>
                <w:ilvl w:val="0"/>
                <w:numId w:val="5"/>
              </w:numPr>
              <w:jc w:val="both"/>
              <w:rPr>
                <w:rFonts w:ascii="Tahoma" w:hAnsi="Tahoma" w:cs="Tahoma"/>
                <w:sz w:val="22"/>
                <w:szCs w:val="22"/>
              </w:rPr>
            </w:pPr>
            <w:r w:rsidRPr="002A32D3">
              <w:rPr>
                <w:rFonts w:ascii="Tahoma" w:hAnsi="Tahoma"/>
                <w:sz w:val="22"/>
                <w:szCs w:val="22"/>
              </w:rPr>
              <w:t xml:space="preserve">Appeals must be made in writing to the DRO no later than 12pm on the day after the decision of the RO has been communicated to that candidate. </w:t>
            </w:r>
          </w:p>
          <w:p w14:paraId="5D130CAD" w14:textId="798D7347" w:rsidR="00AC5E40" w:rsidRPr="002A32D3" w:rsidRDefault="00AC5E40" w:rsidP="00EB1DD8">
            <w:pPr>
              <w:pStyle w:val="ListParagraph"/>
              <w:numPr>
                <w:ilvl w:val="0"/>
                <w:numId w:val="5"/>
              </w:numPr>
              <w:jc w:val="both"/>
              <w:rPr>
                <w:rFonts w:ascii="Tahoma" w:hAnsi="Tahoma" w:cs="Tahoma"/>
                <w:sz w:val="22"/>
                <w:szCs w:val="22"/>
              </w:rPr>
            </w:pPr>
            <w:r w:rsidRPr="002A32D3">
              <w:rPr>
                <w:rFonts w:ascii="Tahoma" w:hAnsi="Tahoma"/>
                <w:sz w:val="22"/>
                <w:szCs w:val="22"/>
              </w:rPr>
              <w:t>Appeals must specify clear grounds referencing that interpretation of the election rules above is unreasonable, correct procedure has not been followed, that the RO or DRO has been prejudiced, biased or failed to fully consider the available evidence.</w:t>
            </w:r>
          </w:p>
          <w:p w14:paraId="3EDA36B1" w14:textId="6359D230" w:rsidR="00AC5E40" w:rsidRPr="002A32D3" w:rsidRDefault="00AC5E40" w:rsidP="00EB1DD8">
            <w:pPr>
              <w:jc w:val="both"/>
              <w:rPr>
                <w:rFonts w:cs="Tahoma"/>
              </w:rPr>
            </w:pPr>
          </w:p>
          <w:p w14:paraId="07E16C49" w14:textId="77777777" w:rsidR="00E02666" w:rsidRPr="002A32D3" w:rsidRDefault="00E02666" w:rsidP="00EB1DD8">
            <w:pPr>
              <w:jc w:val="both"/>
              <w:rPr>
                <w:rFonts w:cs="Tahoma"/>
              </w:rPr>
            </w:pPr>
          </w:p>
          <w:p w14:paraId="08C87A7C" w14:textId="77777777" w:rsidR="00AC5E40" w:rsidRPr="002A32D3" w:rsidRDefault="00AC5E40" w:rsidP="00EB1DD8">
            <w:pPr>
              <w:jc w:val="both"/>
            </w:pPr>
            <w:r w:rsidRPr="002A32D3">
              <w:t>A detailed breakdown of the rules and regulations which oversee elections can be found in the Elections Bye-Law available on the AberSU website.</w:t>
            </w:r>
          </w:p>
          <w:p w14:paraId="54710914" w14:textId="32E1500B" w:rsidR="00E02666" w:rsidRPr="002A32D3" w:rsidRDefault="00E02666" w:rsidP="00EB1DD8">
            <w:pPr>
              <w:jc w:val="both"/>
              <w:rPr>
                <w:rFonts w:cs="Tahoma"/>
              </w:rPr>
            </w:pPr>
          </w:p>
        </w:tc>
      </w:tr>
    </w:tbl>
    <w:p w14:paraId="43310F2D" w14:textId="77777777" w:rsidR="008B5A07" w:rsidRDefault="008B5A07"/>
    <w:sectPr w:rsidR="008B5A07" w:rsidSect="000C5A7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1AEC"/>
    <w:multiLevelType w:val="hybridMultilevel"/>
    <w:tmpl w:val="15060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17212"/>
    <w:multiLevelType w:val="hybridMultilevel"/>
    <w:tmpl w:val="C51EC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50C97"/>
    <w:multiLevelType w:val="hybridMultilevel"/>
    <w:tmpl w:val="3E3C1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6345D2"/>
    <w:multiLevelType w:val="hybridMultilevel"/>
    <w:tmpl w:val="7904F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274007"/>
    <w:multiLevelType w:val="hybridMultilevel"/>
    <w:tmpl w:val="7904F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A30F55"/>
    <w:multiLevelType w:val="hybridMultilevel"/>
    <w:tmpl w:val="4086C808"/>
    <w:lvl w:ilvl="0" w:tplc="53624B5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A07"/>
    <w:rsid w:val="000A5ADF"/>
    <w:rsid w:val="000C5A72"/>
    <w:rsid w:val="000F48A4"/>
    <w:rsid w:val="001211A1"/>
    <w:rsid w:val="00155C1F"/>
    <w:rsid w:val="001729ED"/>
    <w:rsid w:val="001C68E0"/>
    <w:rsid w:val="001D2F0F"/>
    <w:rsid w:val="0020770B"/>
    <w:rsid w:val="002415AB"/>
    <w:rsid w:val="002A32D3"/>
    <w:rsid w:val="002E75B3"/>
    <w:rsid w:val="00315596"/>
    <w:rsid w:val="00340D2D"/>
    <w:rsid w:val="00345C47"/>
    <w:rsid w:val="0034771D"/>
    <w:rsid w:val="0038604B"/>
    <w:rsid w:val="003D0816"/>
    <w:rsid w:val="00430C20"/>
    <w:rsid w:val="004C6D27"/>
    <w:rsid w:val="005A647A"/>
    <w:rsid w:val="006576DD"/>
    <w:rsid w:val="006D23A9"/>
    <w:rsid w:val="00703158"/>
    <w:rsid w:val="00737B36"/>
    <w:rsid w:val="00751660"/>
    <w:rsid w:val="007E060F"/>
    <w:rsid w:val="007E65EE"/>
    <w:rsid w:val="00815B9B"/>
    <w:rsid w:val="008370FF"/>
    <w:rsid w:val="008B5A07"/>
    <w:rsid w:val="008B696E"/>
    <w:rsid w:val="00933F57"/>
    <w:rsid w:val="00986C32"/>
    <w:rsid w:val="00A14160"/>
    <w:rsid w:val="00AC1B1C"/>
    <w:rsid w:val="00AC5E40"/>
    <w:rsid w:val="00B16008"/>
    <w:rsid w:val="00B41764"/>
    <w:rsid w:val="00B9495D"/>
    <w:rsid w:val="00BB66D0"/>
    <w:rsid w:val="00BB7F64"/>
    <w:rsid w:val="00C05838"/>
    <w:rsid w:val="00C1324F"/>
    <w:rsid w:val="00C14969"/>
    <w:rsid w:val="00C45D24"/>
    <w:rsid w:val="00C470B4"/>
    <w:rsid w:val="00CB62B9"/>
    <w:rsid w:val="00DC3177"/>
    <w:rsid w:val="00DD5AA9"/>
    <w:rsid w:val="00DE2EB8"/>
    <w:rsid w:val="00E02666"/>
    <w:rsid w:val="00E34399"/>
    <w:rsid w:val="00E363D9"/>
    <w:rsid w:val="00EB1DD8"/>
    <w:rsid w:val="00EE0D91"/>
    <w:rsid w:val="00EF67A7"/>
    <w:rsid w:val="00F174A4"/>
    <w:rsid w:val="00F91849"/>
    <w:rsid w:val="00FD1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B050"/>
  <w15:docId w15:val="{4B870B0B-4556-42E8-8799-E53FDFD9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5A07"/>
    <w:rPr>
      <w:color w:val="0563C1" w:themeColor="hyperlink"/>
      <w:u w:val="single"/>
    </w:rPr>
  </w:style>
  <w:style w:type="paragraph" w:styleId="ListParagraph">
    <w:name w:val="List Paragraph"/>
    <w:basedOn w:val="Normal"/>
    <w:uiPriority w:val="34"/>
    <w:qFormat/>
    <w:rsid w:val="008B5A07"/>
    <w:pPr>
      <w:spacing w:after="0" w:line="240" w:lineRule="auto"/>
      <w:ind w:left="720"/>
      <w:contextualSpacing/>
    </w:pPr>
    <w:rPr>
      <w:rFonts w:asciiTheme="minorHAnsi" w:hAnsiTheme="minorHAnsi"/>
      <w:sz w:val="24"/>
      <w:szCs w:val="24"/>
    </w:rPr>
  </w:style>
  <w:style w:type="paragraph" w:styleId="BalloonText">
    <w:name w:val="Balloon Text"/>
    <w:basedOn w:val="Normal"/>
    <w:link w:val="BalloonTextChar"/>
    <w:uiPriority w:val="99"/>
    <w:semiHidden/>
    <w:unhideWhenUsed/>
    <w:rsid w:val="00C14969"/>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C14969"/>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md11\AppData\Local\Microsoft\Windows\INetCache\Content.Outlook\NAM64K7C\www.abersu.co.uk\el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on.elections@aber.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Mark Dodd [mmd11]</dc:creator>
  <cp:lastModifiedBy>Alice Rhodes [alr80]</cp:lastModifiedBy>
  <cp:revision>6</cp:revision>
  <cp:lastPrinted>2018-04-19T08:22:00Z</cp:lastPrinted>
  <dcterms:created xsi:type="dcterms:W3CDTF">2021-09-14T11:12:00Z</dcterms:created>
  <dcterms:modified xsi:type="dcterms:W3CDTF">2021-10-11T16:53:00Z</dcterms:modified>
</cp:coreProperties>
</file>