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5FE5" w14:textId="77777777" w:rsidR="007B1A18" w:rsidRPr="00EA6500" w:rsidRDefault="00EA6500">
      <w:pPr>
        <w:rPr>
          <w:rFonts w:ascii="Tahoma" w:hAnsi="Tahoma" w:cs="Tahoma"/>
          <w:sz w:val="24"/>
          <w:szCs w:val="24"/>
        </w:rPr>
      </w:pPr>
      <w:r w:rsidRPr="00EA6500">
        <w:rPr>
          <w:rFonts w:ascii="Tahoma" w:hAnsi="Tahoma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DE0504A" wp14:editId="51752297">
            <wp:simplePos x="0" y="0"/>
            <wp:positionH relativeFrom="margin">
              <wp:align>center</wp:align>
            </wp:positionH>
            <wp:positionV relativeFrom="paragraph">
              <wp:posOffset>-1095375</wp:posOffset>
            </wp:positionV>
            <wp:extent cx="3200400" cy="3200400"/>
            <wp:effectExtent l="0" t="0" r="0" b="0"/>
            <wp:wrapNone/>
            <wp:docPr id="1" name="Picture 1" descr="\\office.disk.aber.ac.uk\studentunion-shared\AberSU Celebrates\2018-19\Branding\sports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.disk.aber.ac.uk\studentunion-shared\AberSU Celebrates\2018-19\Branding\sports 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0C87B" w14:textId="77777777" w:rsidR="007B1A18" w:rsidRPr="00EA6500" w:rsidRDefault="007B1A18">
      <w:pPr>
        <w:rPr>
          <w:rFonts w:ascii="Tahoma" w:hAnsi="Tahoma" w:cs="Tahoma"/>
          <w:sz w:val="24"/>
          <w:szCs w:val="24"/>
        </w:rPr>
      </w:pPr>
    </w:p>
    <w:p w14:paraId="75A7ECEC" w14:textId="77777777" w:rsidR="007B1A18" w:rsidRPr="00EA6500" w:rsidRDefault="007B1A18">
      <w:pPr>
        <w:rPr>
          <w:rFonts w:ascii="Tahoma" w:hAnsi="Tahoma" w:cs="Tahoma"/>
          <w:sz w:val="24"/>
          <w:szCs w:val="24"/>
        </w:rPr>
      </w:pPr>
    </w:p>
    <w:p w14:paraId="46391C8F" w14:textId="77777777" w:rsidR="007B1A18" w:rsidRPr="00EA6500" w:rsidRDefault="007B1A18">
      <w:pPr>
        <w:rPr>
          <w:rFonts w:ascii="Tahoma" w:hAnsi="Tahoma" w:cs="Tahoma"/>
          <w:sz w:val="24"/>
          <w:szCs w:val="24"/>
        </w:rPr>
      </w:pPr>
    </w:p>
    <w:p w14:paraId="1809797C" w14:textId="77777777" w:rsidR="007B1A18" w:rsidRPr="00EA6500" w:rsidRDefault="007B1A18">
      <w:pPr>
        <w:rPr>
          <w:rFonts w:ascii="Tahoma" w:hAnsi="Tahoma" w:cs="Tahoma"/>
          <w:sz w:val="24"/>
          <w:szCs w:val="24"/>
        </w:rPr>
      </w:pPr>
    </w:p>
    <w:p w14:paraId="3E86543A" w14:textId="77777777" w:rsidR="007B1A18" w:rsidRPr="00EA6500" w:rsidRDefault="007B1A18">
      <w:pPr>
        <w:rPr>
          <w:rFonts w:ascii="Tahoma" w:hAnsi="Tahoma" w:cs="Tahoma"/>
          <w:sz w:val="24"/>
          <w:szCs w:val="24"/>
        </w:rPr>
      </w:pPr>
    </w:p>
    <w:p w14:paraId="425A082A" w14:textId="77777777" w:rsidR="007B1A18" w:rsidRPr="00EA6500" w:rsidRDefault="007B1A18" w:rsidP="007B1A18">
      <w:pPr>
        <w:spacing w:after="120" w:line="240" w:lineRule="auto"/>
        <w:rPr>
          <w:rFonts w:ascii="Tahoma" w:hAnsi="Tahoma" w:cs="Tahoma"/>
          <w:b/>
          <w:color w:val="335B74"/>
          <w:sz w:val="24"/>
          <w:szCs w:val="24"/>
        </w:rPr>
      </w:pPr>
      <w:r w:rsidRPr="00EA6500">
        <w:rPr>
          <w:rFonts w:ascii="Tahoma" w:hAnsi="Tahoma" w:cs="Tahoma"/>
          <w:b/>
          <w:sz w:val="24"/>
          <w:szCs w:val="24"/>
        </w:rPr>
        <w:t>Awards Criteria: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3452"/>
        <w:gridCol w:w="5564"/>
      </w:tblGrid>
      <w:tr w:rsidR="007B1A18" w:rsidRPr="00EA6500" w14:paraId="0ACC5BE8" w14:textId="77777777" w:rsidTr="00EA6500">
        <w:trPr>
          <w:trHeight w:val="346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12F81DF5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EA6500">
              <w:rPr>
                <w:rFonts w:ascii="Tahoma" w:hAnsi="Tahoma" w:cs="Tahoma"/>
                <w:b/>
                <w:color w:val="FFFFFF"/>
                <w:sz w:val="24"/>
                <w:szCs w:val="24"/>
                <w:lang w:val="cy-GB"/>
              </w:rPr>
              <w:t>Award</w:t>
            </w:r>
          </w:p>
        </w:tc>
        <w:tc>
          <w:tcPr>
            <w:tcW w:w="5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3A20CA8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EA6500">
              <w:rPr>
                <w:rFonts w:ascii="Tahoma" w:hAnsi="Tahoma" w:cs="Tahoma"/>
                <w:b/>
                <w:color w:val="FFFFFF"/>
                <w:sz w:val="24"/>
                <w:szCs w:val="24"/>
                <w:lang w:val="cy-GB"/>
              </w:rPr>
              <w:t>Criteria</w:t>
            </w:r>
          </w:p>
        </w:tc>
      </w:tr>
      <w:tr w:rsidR="007B1A18" w:rsidRPr="00EA6500" w14:paraId="77EA8270" w14:textId="77777777" w:rsidTr="00EA6500">
        <w:trPr>
          <w:trHeight w:val="689"/>
        </w:trPr>
        <w:tc>
          <w:tcPr>
            <w:tcW w:w="3452" w:type="dxa"/>
            <w:shd w:val="clear" w:color="auto" w:fill="auto"/>
          </w:tcPr>
          <w:p w14:paraId="5CEE82B6" w14:textId="77777777" w:rsidR="00EA6500" w:rsidRPr="00EA6500" w:rsidRDefault="00EA6500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A650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Sports Person of The Year</w:t>
            </w:r>
          </w:p>
          <w:p w14:paraId="45195922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auto"/>
          </w:tcPr>
          <w:p w14:paraId="787D3F18" w14:textId="14FEBC60" w:rsidR="007B1A18" w:rsidRPr="002823F1" w:rsidRDefault="002E3184" w:rsidP="006A51B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3184">
              <w:rPr>
                <w:rFonts w:ascii="Tahoma" w:hAnsi="Tahoma" w:cs="Tahoma"/>
                <w:color w:val="000000"/>
                <w:sz w:val="24"/>
                <w:szCs w:val="24"/>
              </w:rPr>
              <w:t>This is awarded to the individual who has excelled in their chosen field of sport and has enhanced the reputation of sport in Aberystwyth. They have represented on a regional / national level or have excelled within the university sports structure.</w:t>
            </w:r>
          </w:p>
        </w:tc>
      </w:tr>
      <w:tr w:rsidR="007B1A18" w:rsidRPr="00EA6500" w14:paraId="27AA89A4" w14:textId="77777777" w:rsidTr="00EA6500">
        <w:trPr>
          <w:trHeight w:val="689"/>
        </w:trPr>
        <w:tc>
          <w:tcPr>
            <w:tcW w:w="3452" w:type="dxa"/>
            <w:shd w:val="clear" w:color="auto" w:fill="BFBFBF"/>
          </w:tcPr>
          <w:p w14:paraId="7A9AF34D" w14:textId="77777777" w:rsidR="00EA6500" w:rsidRPr="00EA6500" w:rsidRDefault="00EA6500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A650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Sports Personality of The Year</w:t>
            </w:r>
          </w:p>
          <w:p w14:paraId="2574D17A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BFBFBF"/>
          </w:tcPr>
          <w:p w14:paraId="0D94FC95" w14:textId="6F5B41DD" w:rsidR="007B1A18" w:rsidRPr="002823F1" w:rsidRDefault="002E3184" w:rsidP="002823F1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3184">
              <w:rPr>
                <w:rFonts w:ascii="Tahoma" w:hAnsi="Tahoma" w:cs="Tahoma"/>
                <w:color w:val="000000"/>
                <w:sz w:val="24"/>
                <w:szCs w:val="24"/>
              </w:rPr>
              <w:t xml:space="preserve">Awarded to an individual who shows a good sense of sportsmanship, commitment, </w:t>
            </w:r>
            <w:proofErr w:type="gramStart"/>
            <w:r w:rsidRPr="002E3184">
              <w:rPr>
                <w:rFonts w:ascii="Tahoma" w:hAnsi="Tahoma" w:cs="Tahoma"/>
                <w:color w:val="000000"/>
                <w:sz w:val="24"/>
                <w:szCs w:val="24"/>
              </w:rPr>
              <w:t>humour</w:t>
            </w:r>
            <w:proofErr w:type="gramEnd"/>
            <w:r w:rsidRPr="002E318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and enthusiasm in all aspects of their sport and the outward Team Aber community.</w:t>
            </w:r>
          </w:p>
        </w:tc>
      </w:tr>
      <w:tr w:rsidR="007B1A18" w:rsidRPr="00EA6500" w14:paraId="7B4A4929" w14:textId="77777777" w:rsidTr="00EA6500">
        <w:trPr>
          <w:trHeight w:val="689"/>
        </w:trPr>
        <w:tc>
          <w:tcPr>
            <w:tcW w:w="3452" w:type="dxa"/>
            <w:shd w:val="clear" w:color="auto" w:fill="auto"/>
          </w:tcPr>
          <w:p w14:paraId="546F242E" w14:textId="77777777" w:rsidR="00EA6500" w:rsidRPr="00EA6500" w:rsidRDefault="00EA6500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A650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Gwyn Evans Trophy</w:t>
            </w:r>
          </w:p>
          <w:p w14:paraId="46CBDD1D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auto"/>
          </w:tcPr>
          <w:p w14:paraId="15EE8AAA" w14:textId="77777777" w:rsidR="007B1A18" w:rsidRPr="002823F1" w:rsidRDefault="002823F1" w:rsidP="002823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Awarded in memory of a former PE lecturer and club coach, the award recognises personal dedication, </w:t>
            </w:r>
            <w:proofErr w:type="gramStart"/>
            <w:r>
              <w:rPr>
                <w:rFonts w:ascii="Tahoma" w:hAnsi="Tahoma" w:cs="Tahoma"/>
              </w:rPr>
              <w:t>commitment</w:t>
            </w:r>
            <w:proofErr w:type="gramEnd"/>
            <w:r>
              <w:rPr>
                <w:rFonts w:ascii="Tahoma" w:hAnsi="Tahoma" w:cs="Tahoma"/>
              </w:rPr>
              <w:t xml:space="preserve"> and a commendable sporting attitude towards achievement in sport. This is someone that takes on every role within the club, coach, player, supporter: he/she is the individual that everyone turns to in times of need.</w:t>
            </w:r>
          </w:p>
        </w:tc>
      </w:tr>
      <w:tr w:rsidR="007B1A18" w:rsidRPr="00EA6500" w14:paraId="28C5478E" w14:textId="77777777" w:rsidTr="00EA6500">
        <w:trPr>
          <w:trHeight w:val="689"/>
        </w:trPr>
        <w:tc>
          <w:tcPr>
            <w:tcW w:w="3452" w:type="dxa"/>
            <w:shd w:val="clear" w:color="auto" w:fill="BFBFBF"/>
          </w:tcPr>
          <w:p w14:paraId="6BE5ACF1" w14:textId="77777777" w:rsidR="00EA6500" w:rsidRPr="00EA6500" w:rsidRDefault="00EA6500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A650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Mary Anne Trophy</w:t>
            </w:r>
          </w:p>
          <w:p w14:paraId="65288DEA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BFBFBF"/>
          </w:tcPr>
          <w:p w14:paraId="5FD9274B" w14:textId="77777777" w:rsidR="007B1A18" w:rsidRPr="002823F1" w:rsidRDefault="00EA6500" w:rsidP="002823F1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EA6500">
              <w:rPr>
                <w:rFonts w:ascii="Tahoma" w:hAnsi="Tahoma" w:cs="Tahoma"/>
                <w:color w:val="000000"/>
                <w:sz w:val="24"/>
                <w:szCs w:val="24"/>
              </w:rPr>
              <w:t>Awarded to someone who has been dedicated towards the running and administration of a particular club. He or she is the unsung hero who sits at the desk inputting emails or collecting money.</w:t>
            </w:r>
          </w:p>
        </w:tc>
      </w:tr>
      <w:tr w:rsidR="007B1A18" w:rsidRPr="00EA6500" w14:paraId="08938699" w14:textId="77777777" w:rsidTr="00EA6500">
        <w:trPr>
          <w:trHeight w:val="689"/>
        </w:trPr>
        <w:tc>
          <w:tcPr>
            <w:tcW w:w="3452" w:type="dxa"/>
            <w:shd w:val="clear" w:color="auto" w:fill="auto"/>
          </w:tcPr>
          <w:p w14:paraId="3356EE39" w14:textId="77777777" w:rsidR="00EA6500" w:rsidRPr="00EA6500" w:rsidRDefault="00EA6500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A650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Club of The Year</w:t>
            </w:r>
          </w:p>
          <w:p w14:paraId="28FDE02B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auto"/>
          </w:tcPr>
          <w:p w14:paraId="2E8D94D5" w14:textId="5EABD4D4" w:rsidR="007B1A18" w:rsidRPr="002823F1" w:rsidRDefault="002E3184" w:rsidP="002823F1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3184">
              <w:rPr>
                <w:rFonts w:ascii="Tahoma" w:hAnsi="Tahoma" w:cs="Tahoma"/>
                <w:color w:val="000000"/>
                <w:sz w:val="24"/>
                <w:szCs w:val="24"/>
              </w:rPr>
              <w:t xml:space="preserve">The Club of the Year is the most coveted and sought-after award within Team Aber. This is awarded to the most successful, </w:t>
            </w:r>
            <w:proofErr w:type="gramStart"/>
            <w:r w:rsidRPr="002E3184">
              <w:rPr>
                <w:rFonts w:ascii="Tahoma" w:hAnsi="Tahoma" w:cs="Tahoma"/>
                <w:color w:val="000000"/>
                <w:sz w:val="24"/>
                <w:szCs w:val="24"/>
              </w:rPr>
              <w:t>committed</w:t>
            </w:r>
            <w:proofErr w:type="gramEnd"/>
            <w:r w:rsidRPr="002E3184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and active club of the academic year.</w:t>
            </w:r>
          </w:p>
        </w:tc>
      </w:tr>
      <w:tr w:rsidR="007B1A18" w:rsidRPr="00EA6500" w14:paraId="37DEF1AF" w14:textId="77777777" w:rsidTr="002E3184">
        <w:tc>
          <w:tcPr>
            <w:tcW w:w="3452" w:type="dxa"/>
            <w:shd w:val="clear" w:color="auto" w:fill="BFBFBF" w:themeFill="background1" w:themeFillShade="BF"/>
          </w:tcPr>
          <w:p w14:paraId="456CBF80" w14:textId="77777777" w:rsidR="00EA6500" w:rsidRPr="00EA6500" w:rsidRDefault="00EA6500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A650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Biggest Contribution RAG</w:t>
            </w:r>
          </w:p>
          <w:p w14:paraId="77FB7C15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BFBFBF" w:themeFill="background1" w:themeFillShade="BF"/>
          </w:tcPr>
          <w:p w14:paraId="05D42D6A" w14:textId="18FBB86D" w:rsidR="007B1A18" w:rsidRPr="00EA6500" w:rsidRDefault="002E3184" w:rsidP="00EA6500">
            <w:pPr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E3184">
              <w:rPr>
                <w:rFonts w:ascii="Tahoma" w:hAnsi="Tahoma" w:cs="Tahoma"/>
                <w:color w:val="000000"/>
                <w:sz w:val="24"/>
                <w:szCs w:val="24"/>
              </w:rPr>
              <w:t>This is awarded to a club whose members have freely given a significant amount of their time to a good cause throughout the year, or a club that has significantly contributed towards RAG throughout the year.</w:t>
            </w:r>
          </w:p>
        </w:tc>
      </w:tr>
      <w:tr w:rsidR="007B1A18" w:rsidRPr="00EA6500" w14:paraId="5B9DF796" w14:textId="77777777" w:rsidTr="002E3184">
        <w:tc>
          <w:tcPr>
            <w:tcW w:w="3452" w:type="dxa"/>
            <w:shd w:val="clear" w:color="auto" w:fill="FFFFFF" w:themeFill="background1"/>
          </w:tcPr>
          <w:p w14:paraId="7EEA868F" w14:textId="77777777" w:rsidR="00EA6500" w:rsidRPr="00EA6500" w:rsidRDefault="00EA6500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A6500">
              <w:rPr>
                <w:rFonts w:ascii="Tahoma" w:hAnsi="Tahoma" w:cs="Tahoma"/>
                <w:b/>
                <w:color w:val="000000"/>
                <w:sz w:val="24"/>
                <w:szCs w:val="24"/>
              </w:rPr>
              <w:lastRenderedPageBreak/>
              <w:t>Welsh Language Award</w:t>
            </w:r>
          </w:p>
          <w:p w14:paraId="063920CD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FFFFFF" w:themeFill="background1"/>
          </w:tcPr>
          <w:p w14:paraId="58AC0DE5" w14:textId="77777777" w:rsidR="007B1A18" w:rsidRPr="002823F1" w:rsidRDefault="002823F1" w:rsidP="002823F1">
            <w:pPr>
              <w:rPr>
                <w:rFonts w:ascii="Tahoma" w:hAnsi="Tahoma" w:cs="Tahoma"/>
                <w:sz w:val="24"/>
                <w:szCs w:val="24"/>
              </w:rPr>
            </w:pPr>
            <w:r w:rsidRPr="002823F1">
              <w:rPr>
                <w:rFonts w:ascii="Tahoma" w:hAnsi="Tahoma" w:cs="Tahoma"/>
                <w:sz w:val="24"/>
                <w:szCs w:val="24"/>
              </w:rPr>
              <w:t xml:space="preserve">The club has exceeded the boundaries of the Bilingualism Policy and has included bilingualism print on official club clothing. In addition, </w:t>
            </w:r>
            <w:proofErr w:type="gramStart"/>
            <w:r w:rsidRPr="002823F1">
              <w:rPr>
                <w:rFonts w:ascii="Tahoma" w:hAnsi="Tahoma" w:cs="Tahoma"/>
                <w:sz w:val="24"/>
                <w:szCs w:val="24"/>
              </w:rPr>
              <w:t>all of</w:t>
            </w:r>
            <w:proofErr w:type="gramEnd"/>
            <w:r w:rsidRPr="002823F1">
              <w:rPr>
                <w:rFonts w:ascii="Tahoma" w:hAnsi="Tahoma" w:cs="Tahoma"/>
                <w:sz w:val="24"/>
                <w:szCs w:val="24"/>
              </w:rPr>
              <w:t xml:space="preserve"> their correspondence has been in bilingual, and the club committee also includes a Welsh Language Officer/ Translation Officer, and the club upholds the bilingual policy at their events.</w:t>
            </w:r>
          </w:p>
        </w:tc>
      </w:tr>
      <w:tr w:rsidR="002E3184" w:rsidRPr="00EA6500" w14:paraId="05302EA9" w14:textId="77777777" w:rsidTr="00EA6500">
        <w:tc>
          <w:tcPr>
            <w:tcW w:w="3452" w:type="dxa"/>
            <w:shd w:val="clear" w:color="auto" w:fill="BFBFBF"/>
          </w:tcPr>
          <w:p w14:paraId="4F0A8BCE" w14:textId="18DFC00C" w:rsidR="002E3184" w:rsidRPr="00EA6500" w:rsidRDefault="00B82DAB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82DA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BUCS Team of The Year</w:t>
            </w:r>
          </w:p>
        </w:tc>
        <w:tc>
          <w:tcPr>
            <w:tcW w:w="5564" w:type="dxa"/>
            <w:shd w:val="clear" w:color="auto" w:fill="BFBFBF"/>
          </w:tcPr>
          <w:p w14:paraId="62A23DF8" w14:textId="224855C0" w:rsidR="002E3184" w:rsidRPr="002823F1" w:rsidRDefault="00B82DAB" w:rsidP="002823F1">
            <w:pPr>
              <w:rPr>
                <w:rFonts w:ascii="Tahoma" w:hAnsi="Tahoma" w:cs="Tahoma"/>
                <w:sz w:val="24"/>
                <w:szCs w:val="24"/>
              </w:rPr>
            </w:pPr>
            <w:r w:rsidRPr="00B82DAB">
              <w:rPr>
                <w:rFonts w:ascii="Tahoma" w:hAnsi="Tahoma" w:cs="Tahoma"/>
                <w:sz w:val="24"/>
                <w:szCs w:val="24"/>
              </w:rPr>
              <w:t xml:space="preserve">Awarded to the team that has competed exceptionally in their BUCS competition. This team has represented the university well at national level furthering the reputation of Aberystwyth </w:t>
            </w:r>
            <w:proofErr w:type="gramStart"/>
            <w:r w:rsidRPr="00B82DAB">
              <w:rPr>
                <w:rFonts w:ascii="Tahoma" w:hAnsi="Tahoma" w:cs="Tahoma"/>
                <w:sz w:val="24"/>
                <w:szCs w:val="24"/>
              </w:rPr>
              <w:t>University.</w:t>
            </w:r>
            <w:r w:rsidR="002E3184" w:rsidRPr="002E3184"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</w:p>
        </w:tc>
      </w:tr>
      <w:tr w:rsidR="00B82DAB" w:rsidRPr="00EA6500" w14:paraId="70EFDD1E" w14:textId="77777777" w:rsidTr="00B82DAB">
        <w:tc>
          <w:tcPr>
            <w:tcW w:w="3452" w:type="dxa"/>
            <w:shd w:val="clear" w:color="auto" w:fill="FFFFFF" w:themeFill="background1"/>
          </w:tcPr>
          <w:p w14:paraId="12ABF8B1" w14:textId="0C41EE5A" w:rsidR="00B82DAB" w:rsidRPr="00B82DAB" w:rsidRDefault="00B82DAB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82DA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Non - BUCS Team of The Year</w:t>
            </w:r>
          </w:p>
        </w:tc>
        <w:tc>
          <w:tcPr>
            <w:tcW w:w="5564" w:type="dxa"/>
            <w:shd w:val="clear" w:color="auto" w:fill="FFFFFF" w:themeFill="background1"/>
          </w:tcPr>
          <w:p w14:paraId="6A704ABB" w14:textId="77C2A453" w:rsidR="00B82DAB" w:rsidRPr="00B82DAB" w:rsidRDefault="00B82DAB" w:rsidP="002823F1">
            <w:pPr>
              <w:rPr>
                <w:rFonts w:ascii="Tahoma" w:hAnsi="Tahoma" w:cs="Tahoma"/>
                <w:sz w:val="24"/>
                <w:szCs w:val="24"/>
              </w:rPr>
            </w:pPr>
            <w:r w:rsidRPr="00B82DAB">
              <w:rPr>
                <w:rFonts w:ascii="Tahoma" w:hAnsi="Tahoma" w:cs="Tahoma"/>
                <w:sz w:val="24"/>
                <w:szCs w:val="24"/>
              </w:rPr>
              <w:t>Awarded to the team that has competed exceptionally in their competition. This team has represented the university well and furthered the reputation of Aberystwyth University.</w:t>
            </w:r>
          </w:p>
        </w:tc>
      </w:tr>
      <w:tr w:rsidR="00B82DAB" w:rsidRPr="00EA6500" w14:paraId="552790DD" w14:textId="77777777" w:rsidTr="00EA6500">
        <w:tc>
          <w:tcPr>
            <w:tcW w:w="3452" w:type="dxa"/>
            <w:shd w:val="clear" w:color="auto" w:fill="BFBFBF"/>
          </w:tcPr>
          <w:p w14:paraId="57B7788B" w14:textId="5FD7E8B5" w:rsidR="00B82DAB" w:rsidRPr="00B82DAB" w:rsidRDefault="00B82DAB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82DA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Most Improved Club of The Year</w:t>
            </w:r>
          </w:p>
        </w:tc>
        <w:tc>
          <w:tcPr>
            <w:tcW w:w="5564" w:type="dxa"/>
            <w:shd w:val="clear" w:color="auto" w:fill="BFBFBF"/>
          </w:tcPr>
          <w:p w14:paraId="34986355" w14:textId="17FA4578" w:rsidR="00B82DAB" w:rsidRPr="00B82DAB" w:rsidRDefault="00B82DAB" w:rsidP="002823F1">
            <w:pPr>
              <w:rPr>
                <w:rFonts w:ascii="Tahoma" w:hAnsi="Tahoma" w:cs="Tahoma"/>
                <w:sz w:val="24"/>
                <w:szCs w:val="24"/>
              </w:rPr>
            </w:pPr>
            <w:r w:rsidRPr="00B82DAB">
              <w:rPr>
                <w:rFonts w:ascii="Tahoma" w:hAnsi="Tahoma" w:cs="Tahoma"/>
                <w:sz w:val="24"/>
                <w:szCs w:val="24"/>
              </w:rPr>
              <w:t xml:space="preserve">The criteria for this award are improved success, </w:t>
            </w:r>
            <w:proofErr w:type="gramStart"/>
            <w:r w:rsidRPr="00B82DAB">
              <w:rPr>
                <w:rFonts w:ascii="Tahoma" w:hAnsi="Tahoma" w:cs="Tahoma"/>
                <w:sz w:val="24"/>
                <w:szCs w:val="24"/>
              </w:rPr>
              <w:t>spirit</w:t>
            </w:r>
            <w:proofErr w:type="gramEnd"/>
            <w:r w:rsidRPr="00B82DAB">
              <w:rPr>
                <w:rFonts w:ascii="Tahoma" w:hAnsi="Tahoma" w:cs="Tahoma"/>
                <w:sz w:val="24"/>
                <w:szCs w:val="24"/>
              </w:rPr>
              <w:t xml:space="preserve"> and organisation of a club. They should also demonstrate a dedication to carrying on this progression for future years.</w:t>
            </w:r>
          </w:p>
        </w:tc>
      </w:tr>
      <w:tr w:rsidR="00B82DAB" w:rsidRPr="00EA6500" w14:paraId="67B3D8A6" w14:textId="77777777" w:rsidTr="00B82DAB">
        <w:tc>
          <w:tcPr>
            <w:tcW w:w="3452" w:type="dxa"/>
            <w:shd w:val="clear" w:color="auto" w:fill="FFFFFF" w:themeFill="background1"/>
          </w:tcPr>
          <w:p w14:paraId="11D4E5B4" w14:textId="5B254E58" w:rsidR="00B82DAB" w:rsidRPr="00B82DAB" w:rsidRDefault="00B82DAB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82DA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Committee Excellence Award</w:t>
            </w:r>
          </w:p>
        </w:tc>
        <w:tc>
          <w:tcPr>
            <w:tcW w:w="5564" w:type="dxa"/>
            <w:shd w:val="clear" w:color="auto" w:fill="FFFFFF" w:themeFill="background1"/>
          </w:tcPr>
          <w:p w14:paraId="2F7CF445" w14:textId="0F9B6680" w:rsidR="00B82DAB" w:rsidRPr="00B82DAB" w:rsidRDefault="00B82DAB" w:rsidP="002823F1">
            <w:pPr>
              <w:rPr>
                <w:rFonts w:ascii="Tahoma" w:hAnsi="Tahoma" w:cs="Tahoma"/>
                <w:sz w:val="24"/>
                <w:szCs w:val="24"/>
              </w:rPr>
            </w:pPr>
            <w:r w:rsidRPr="00B82DAB">
              <w:rPr>
                <w:rFonts w:ascii="Tahoma" w:hAnsi="Tahoma" w:cs="Tahoma"/>
                <w:sz w:val="24"/>
                <w:szCs w:val="24"/>
              </w:rPr>
              <w:t xml:space="preserve">For this award we are looking for a committee who have gone above and beyond to work together and provide a range of events/activities for their members. They will have worked effectively as a team, had good communication between themselves and members, and put inclusivity at the forefront. They will have actively engaged with SU events and activities; alongside building good working relationships with key areas of the SU, namely with members of the </w:t>
            </w:r>
            <w:proofErr w:type="spellStart"/>
            <w:r w:rsidRPr="00B82DAB">
              <w:rPr>
                <w:rFonts w:ascii="Tahoma" w:hAnsi="Tahoma" w:cs="Tahoma"/>
                <w:sz w:val="24"/>
                <w:szCs w:val="24"/>
              </w:rPr>
              <w:t>Opps</w:t>
            </w:r>
            <w:proofErr w:type="spellEnd"/>
            <w:r w:rsidRPr="00B82DAB">
              <w:rPr>
                <w:rFonts w:ascii="Tahoma" w:hAnsi="Tahoma" w:cs="Tahoma"/>
                <w:sz w:val="24"/>
                <w:szCs w:val="24"/>
              </w:rPr>
              <w:t xml:space="preserve"> Team, Finance staff, and other internal or external organisations.</w:t>
            </w:r>
          </w:p>
        </w:tc>
      </w:tr>
      <w:tr w:rsidR="007B1A18" w:rsidRPr="00EA6500" w14:paraId="79F64489" w14:textId="77777777" w:rsidTr="00B82DAB">
        <w:tc>
          <w:tcPr>
            <w:tcW w:w="3452" w:type="dxa"/>
            <w:shd w:val="clear" w:color="auto" w:fill="BFBFBF" w:themeFill="background1" w:themeFillShade="BF"/>
          </w:tcPr>
          <w:p w14:paraId="563016D3" w14:textId="77777777" w:rsidR="00EA6500" w:rsidRPr="00EA6500" w:rsidRDefault="00EA6500" w:rsidP="00EA6500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A6500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University Colours: Sports (25)</w:t>
            </w:r>
          </w:p>
          <w:p w14:paraId="0DE8749F" w14:textId="77777777" w:rsidR="007B1A18" w:rsidRPr="00EA6500" w:rsidRDefault="007B1A18" w:rsidP="006A51B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5564" w:type="dxa"/>
            <w:shd w:val="clear" w:color="auto" w:fill="BFBFBF" w:themeFill="background1" w:themeFillShade="BF"/>
          </w:tcPr>
          <w:p w14:paraId="29CEB4AE" w14:textId="77777777" w:rsidR="007B1A18" w:rsidRPr="002823F1" w:rsidRDefault="002823F1" w:rsidP="002823F1">
            <w:pPr>
              <w:rPr>
                <w:rFonts w:ascii="Tahoma" w:hAnsi="Tahoma" w:cs="Tahoma"/>
                <w:sz w:val="24"/>
                <w:szCs w:val="24"/>
              </w:rPr>
            </w:pPr>
            <w:r w:rsidRPr="002823F1">
              <w:rPr>
                <w:rFonts w:ascii="Tahoma" w:hAnsi="Tahoma" w:cs="Tahoma"/>
                <w:sz w:val="24"/>
                <w:szCs w:val="24"/>
              </w:rPr>
              <w:t xml:space="preserve">Awarded to individual students who have shown continued outstanding dedication or made an exceptional contribution to their club, whilst also demonstrating commitment to the students' union and/or student sport. In exceptional circumstances, students may also be awarded full colours for excelling at their chosen sport to a high level, including winning an international/national or BUCS Competition or </w:t>
            </w:r>
            <w:r w:rsidRPr="002823F1">
              <w:rPr>
                <w:rFonts w:ascii="Tahoma" w:hAnsi="Tahoma" w:cs="Tahoma"/>
                <w:sz w:val="24"/>
                <w:szCs w:val="24"/>
              </w:rPr>
              <w:lastRenderedPageBreak/>
              <w:t>representing their sport at a national/international level.</w:t>
            </w:r>
          </w:p>
        </w:tc>
      </w:tr>
    </w:tbl>
    <w:p w14:paraId="449D9EC2" w14:textId="77777777" w:rsidR="00711D65" w:rsidRPr="00EA6500" w:rsidRDefault="00B82DAB">
      <w:pPr>
        <w:rPr>
          <w:rFonts w:ascii="Tahoma" w:hAnsi="Tahoma" w:cs="Tahoma"/>
          <w:sz w:val="24"/>
          <w:szCs w:val="24"/>
        </w:rPr>
      </w:pPr>
    </w:p>
    <w:sectPr w:rsidR="00711D65" w:rsidRPr="00EA6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755C" w14:textId="77777777" w:rsidR="007B1A18" w:rsidRDefault="007B1A18" w:rsidP="007B1A18">
      <w:pPr>
        <w:spacing w:after="0" w:line="240" w:lineRule="auto"/>
      </w:pPr>
      <w:r>
        <w:separator/>
      </w:r>
    </w:p>
  </w:endnote>
  <w:endnote w:type="continuationSeparator" w:id="0">
    <w:p w14:paraId="240464FB" w14:textId="77777777" w:rsidR="007B1A18" w:rsidRDefault="007B1A18" w:rsidP="007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D080" w14:textId="77777777" w:rsidR="007B1A18" w:rsidRDefault="007B1A18" w:rsidP="007B1A18">
      <w:pPr>
        <w:spacing w:after="0" w:line="240" w:lineRule="auto"/>
      </w:pPr>
      <w:r>
        <w:separator/>
      </w:r>
    </w:p>
  </w:footnote>
  <w:footnote w:type="continuationSeparator" w:id="0">
    <w:p w14:paraId="5B85CCC1" w14:textId="77777777" w:rsidR="007B1A18" w:rsidRDefault="007B1A18" w:rsidP="007B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18"/>
    <w:rsid w:val="002823F1"/>
    <w:rsid w:val="002C49E9"/>
    <w:rsid w:val="002E3184"/>
    <w:rsid w:val="00565C47"/>
    <w:rsid w:val="00693537"/>
    <w:rsid w:val="007B1A18"/>
    <w:rsid w:val="0086058F"/>
    <w:rsid w:val="00B25D57"/>
    <w:rsid w:val="00B82DAB"/>
    <w:rsid w:val="00D7411E"/>
    <w:rsid w:val="00EA3822"/>
    <w:rsid w:val="00E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70057F"/>
  <w15:chartTrackingRefBased/>
  <w15:docId w15:val="{DEA26884-4D4F-4957-B268-BF0D0AC0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1A18"/>
    <w:pPr>
      <w:spacing w:after="0" w:line="240" w:lineRule="auto"/>
    </w:pPr>
    <w:rPr>
      <w:rFonts w:ascii="Calibri" w:eastAsia="Calibri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B1A18"/>
    <w:rPr>
      <w:rFonts w:ascii="Calibri" w:eastAsia="Calibri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Goodwin [alg51]</dc:creator>
  <cp:keywords/>
  <dc:description/>
  <cp:lastModifiedBy>Amy Goodwin [alg51]</cp:lastModifiedBy>
  <cp:revision>2</cp:revision>
  <dcterms:created xsi:type="dcterms:W3CDTF">2022-01-26T11:07:00Z</dcterms:created>
  <dcterms:modified xsi:type="dcterms:W3CDTF">2022-01-26T11:07:00Z</dcterms:modified>
</cp:coreProperties>
</file>